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818D" w14:textId="77777777" w:rsidR="00651361" w:rsidRDefault="00651361" w:rsidP="002C223C">
      <w:pPr>
        <w:pStyle w:val="AAFTitle"/>
      </w:pPr>
    </w:p>
    <w:p w14:paraId="564F8F42" w14:textId="529F5C3A" w:rsidR="002C223C" w:rsidRDefault="00152C59" w:rsidP="00152C59">
      <w:pPr>
        <w:pStyle w:val="AAFTitle"/>
      </w:pPr>
      <w:r>
        <w:t xml:space="preserve">Position Description - </w:t>
      </w:r>
      <w:r w:rsidR="00F827D9">
        <w:t>Business Analyst</w:t>
      </w:r>
    </w:p>
    <w:p w14:paraId="035C210D" w14:textId="77777777" w:rsidR="002C223C" w:rsidRDefault="002C223C" w:rsidP="002C223C"/>
    <w:p w14:paraId="33A3D2F2" w14:textId="01773A3F" w:rsidR="002C223C" w:rsidRDefault="002C223C" w:rsidP="00152C59">
      <w:pPr>
        <w:rPr>
          <w:color w:val="auto"/>
        </w:rPr>
      </w:pPr>
      <w:r w:rsidRPr="002C223C">
        <w:rPr>
          <w:b/>
          <w:color w:val="auto"/>
        </w:rPr>
        <w:t xml:space="preserve">Position Title: </w:t>
      </w:r>
      <w:r w:rsidR="00F827D9">
        <w:rPr>
          <w:color w:val="auto"/>
        </w:rPr>
        <w:t>Business Analy</w:t>
      </w:r>
      <w:r w:rsidR="00F827D9" w:rsidRPr="00A50EEB">
        <w:rPr>
          <w:color w:val="auto"/>
        </w:rPr>
        <w:t>st</w:t>
      </w:r>
      <w:r w:rsidR="00FE11D3" w:rsidRPr="00A50EEB">
        <w:rPr>
          <w:color w:val="auto"/>
        </w:rPr>
        <w:t xml:space="preserve"> </w:t>
      </w:r>
      <w:r w:rsidR="00993F11">
        <w:rPr>
          <w:color w:val="auto"/>
        </w:rPr>
        <w:t>–</w:t>
      </w:r>
      <w:r w:rsidR="00A50EEB">
        <w:rPr>
          <w:color w:val="auto"/>
        </w:rPr>
        <w:t xml:space="preserve"> </w:t>
      </w:r>
      <w:r w:rsidR="00993F11">
        <w:rPr>
          <w:color w:val="auto"/>
        </w:rPr>
        <w:t>BioCommons Human Genomes Platform</w:t>
      </w:r>
      <w:r w:rsidR="00A50EEB" w:rsidRPr="00A50EEB">
        <w:rPr>
          <w:color w:val="auto"/>
        </w:rPr>
        <w:t xml:space="preserve"> (</w:t>
      </w:r>
      <w:r w:rsidR="00993F11">
        <w:rPr>
          <w:color w:val="auto"/>
        </w:rPr>
        <w:t>BioCommons</w:t>
      </w:r>
      <w:r w:rsidR="00CF54C5">
        <w:rPr>
          <w:color w:val="auto"/>
        </w:rPr>
        <w:t xml:space="preserve"> HGP</w:t>
      </w:r>
      <w:r w:rsidR="00A50EEB" w:rsidRPr="00A50EEB">
        <w:rPr>
          <w:color w:val="auto"/>
        </w:rPr>
        <w:t>)</w:t>
      </w:r>
    </w:p>
    <w:p w14:paraId="4B8EA1ED" w14:textId="2E816C47" w:rsidR="00C6516A" w:rsidRPr="00C6516A" w:rsidRDefault="00C6516A" w:rsidP="00152C59">
      <w:pPr>
        <w:rPr>
          <w:color w:val="auto"/>
        </w:rPr>
      </w:pPr>
      <w:r>
        <w:rPr>
          <w:b/>
          <w:bCs/>
          <w:color w:val="auto"/>
        </w:rPr>
        <w:t xml:space="preserve">Position Type: </w:t>
      </w:r>
      <w:r>
        <w:rPr>
          <w:color w:val="auto"/>
        </w:rPr>
        <w:t>Project based,</w:t>
      </w:r>
      <w:r>
        <w:rPr>
          <w:b/>
          <w:bCs/>
          <w:color w:val="auto"/>
        </w:rPr>
        <w:t xml:space="preserve"> </w:t>
      </w:r>
      <w:r>
        <w:rPr>
          <w:color w:val="auto"/>
        </w:rPr>
        <w:t xml:space="preserve">fixed term </w:t>
      </w:r>
      <w:r w:rsidR="00DF6D71">
        <w:rPr>
          <w:color w:val="auto"/>
        </w:rPr>
        <w:t>15</w:t>
      </w:r>
      <w:r>
        <w:rPr>
          <w:color w:val="auto"/>
        </w:rPr>
        <w:t xml:space="preserve"> months</w:t>
      </w:r>
    </w:p>
    <w:p w14:paraId="2EE04FC7" w14:textId="4C4F7819" w:rsidR="002C223C" w:rsidRPr="002C223C" w:rsidRDefault="002C223C" w:rsidP="00152C59">
      <w:pPr>
        <w:rPr>
          <w:b/>
          <w:color w:val="auto"/>
        </w:rPr>
      </w:pPr>
      <w:r w:rsidRPr="002C223C">
        <w:rPr>
          <w:b/>
          <w:color w:val="auto"/>
        </w:rPr>
        <w:t xml:space="preserve">Location: </w:t>
      </w:r>
      <w:r w:rsidR="006826DB" w:rsidRPr="00152C59">
        <w:rPr>
          <w:bCs/>
          <w:color w:val="auto"/>
        </w:rPr>
        <w:t>Nat</w:t>
      </w:r>
      <w:r w:rsidR="00990B6E" w:rsidRPr="00152C59">
        <w:rPr>
          <w:bCs/>
          <w:color w:val="auto"/>
        </w:rPr>
        <w:t>i</w:t>
      </w:r>
      <w:r w:rsidR="006826DB" w:rsidRPr="00152C59">
        <w:rPr>
          <w:bCs/>
          <w:color w:val="auto"/>
        </w:rPr>
        <w:t>onal</w:t>
      </w:r>
    </w:p>
    <w:p w14:paraId="6E61522B" w14:textId="6F98E471" w:rsidR="002C223C" w:rsidRDefault="0017462C" w:rsidP="00152C59">
      <w:pPr>
        <w:rPr>
          <w:color w:val="auto"/>
        </w:rPr>
      </w:pPr>
      <w:r>
        <w:rPr>
          <w:b/>
          <w:color w:val="auto"/>
        </w:rPr>
        <w:t>Reports to</w:t>
      </w:r>
      <w:r w:rsidR="002C223C" w:rsidRPr="002C223C">
        <w:rPr>
          <w:b/>
          <w:color w:val="auto"/>
        </w:rPr>
        <w:t>:</w:t>
      </w:r>
      <w:r w:rsidR="002C223C" w:rsidRPr="00F827D9">
        <w:rPr>
          <w:bCs/>
          <w:color w:val="auto"/>
        </w:rPr>
        <w:t xml:space="preserve"> </w:t>
      </w:r>
      <w:r w:rsidR="00F827D9" w:rsidRPr="00F827D9">
        <w:rPr>
          <w:bCs/>
          <w:color w:val="auto"/>
        </w:rPr>
        <w:t>Head, Projects &amp; Managed Services</w:t>
      </w:r>
    </w:p>
    <w:p w14:paraId="1E140009" w14:textId="2BCB87F7" w:rsidR="00D23A3C" w:rsidRPr="002C223C" w:rsidRDefault="00D23A3C" w:rsidP="00152C59">
      <w:pPr>
        <w:rPr>
          <w:b/>
          <w:color w:val="auto"/>
        </w:rPr>
      </w:pPr>
      <w:r>
        <w:rPr>
          <w:b/>
          <w:color w:val="auto"/>
        </w:rPr>
        <w:t xml:space="preserve">Number of Direct Reports/Staff Supervisory Requirements: </w:t>
      </w:r>
      <w:r w:rsidRPr="00D23A3C">
        <w:rPr>
          <w:bCs/>
          <w:color w:val="auto"/>
        </w:rPr>
        <w:t>None</w:t>
      </w:r>
    </w:p>
    <w:p w14:paraId="2176D9D5" w14:textId="0B00BFEA" w:rsidR="00EF7BE0" w:rsidRPr="00EF7BE0" w:rsidRDefault="002C223C" w:rsidP="00152C59">
      <w:pPr>
        <w:rPr>
          <w:color w:val="auto"/>
        </w:rPr>
      </w:pPr>
      <w:r w:rsidRPr="002C223C">
        <w:rPr>
          <w:b/>
          <w:color w:val="auto"/>
        </w:rPr>
        <w:t>Open t</w:t>
      </w:r>
      <w:r w:rsidR="00EF7BE0">
        <w:rPr>
          <w:b/>
          <w:color w:val="auto"/>
        </w:rPr>
        <w:t>o</w:t>
      </w:r>
      <w:r w:rsidRPr="002C223C">
        <w:rPr>
          <w:b/>
          <w:color w:val="auto"/>
        </w:rPr>
        <w:t xml:space="preserve">: </w:t>
      </w:r>
      <w:r w:rsidRPr="002C223C">
        <w:rPr>
          <w:color w:val="auto"/>
        </w:rPr>
        <w:t>Australian or New Zealand citizens or Australian permanent residents who have approval to work in Australia.</w:t>
      </w:r>
      <w:r w:rsidR="009B3095">
        <w:rPr>
          <w:color w:val="auto"/>
        </w:rPr>
        <w:t xml:space="preserve"> </w:t>
      </w:r>
      <w:r w:rsidR="00EF7BE0" w:rsidRPr="00EF7BE0">
        <w:rPr>
          <w:color w:val="auto"/>
        </w:rPr>
        <w:t xml:space="preserve">The position may be open to </w:t>
      </w:r>
      <w:r w:rsidR="00990B6E">
        <w:rPr>
          <w:color w:val="auto"/>
        </w:rPr>
        <w:t xml:space="preserve">Australian university </w:t>
      </w:r>
      <w:r w:rsidR="00EF7BE0" w:rsidRPr="00EF7BE0">
        <w:rPr>
          <w:color w:val="auto"/>
        </w:rPr>
        <w:t>staff applying on a secondment basis (subject to the approval of their institution and the AAF).</w:t>
      </w:r>
    </w:p>
    <w:p w14:paraId="269A2366" w14:textId="678F71FB" w:rsidR="002C223C" w:rsidRPr="002C223C" w:rsidRDefault="002C223C" w:rsidP="00152C59">
      <w:pPr>
        <w:rPr>
          <w:color w:val="auto"/>
        </w:rPr>
      </w:pPr>
    </w:p>
    <w:p w14:paraId="024CC990" w14:textId="77777777" w:rsidR="002C223C" w:rsidRDefault="002C223C" w:rsidP="00F827D9"/>
    <w:p w14:paraId="56DD540E" w14:textId="77777777" w:rsidR="002C223C" w:rsidRPr="00D70949" w:rsidRDefault="002C223C" w:rsidP="005949DB">
      <w:pPr>
        <w:pStyle w:val="Heading1"/>
      </w:pPr>
      <w:r w:rsidRPr="00D70949">
        <w:t>Organisational Context</w:t>
      </w:r>
    </w:p>
    <w:p w14:paraId="03EE8684" w14:textId="69412910" w:rsidR="002C223C" w:rsidRPr="005949DB" w:rsidRDefault="002C223C" w:rsidP="002C223C">
      <w:pPr>
        <w:rPr>
          <w:color w:val="auto"/>
        </w:rPr>
      </w:pPr>
      <w:r w:rsidRPr="005949DB">
        <w:rPr>
          <w:color w:val="auto"/>
        </w:rPr>
        <w:t>The Australian Access Federation</w:t>
      </w:r>
      <w:r w:rsidR="005424A6">
        <w:rPr>
          <w:color w:val="auto"/>
        </w:rPr>
        <w:t xml:space="preserve"> (AAF)</w:t>
      </w:r>
      <w:r w:rsidRPr="005949DB">
        <w:rPr>
          <w:color w:val="auto"/>
        </w:rPr>
        <w:t xml:space="preserve"> provide</w:t>
      </w:r>
      <w:r w:rsidR="00C6516A">
        <w:rPr>
          <w:color w:val="auto"/>
        </w:rPr>
        <w:t>s</w:t>
      </w:r>
      <w:r w:rsidRPr="005949DB">
        <w:rPr>
          <w:color w:val="auto"/>
        </w:rPr>
        <w:t xml:space="preserve"> </w:t>
      </w:r>
      <w:r w:rsidR="00C6516A">
        <w:rPr>
          <w:color w:val="auto"/>
        </w:rPr>
        <w:t>the</w:t>
      </w:r>
      <w:r w:rsidR="00C6516A" w:rsidRPr="005949DB">
        <w:rPr>
          <w:color w:val="auto"/>
        </w:rPr>
        <w:t xml:space="preserve"> </w:t>
      </w:r>
      <w:r w:rsidRPr="005949DB">
        <w:rPr>
          <w:color w:val="auto"/>
        </w:rPr>
        <w:t xml:space="preserve">National Identity Federation to facilitate electronic communications and collaboration within and between universities and research institutions in Australia and overseas. </w:t>
      </w:r>
      <w:r w:rsidR="00C6516A">
        <w:rPr>
          <w:color w:val="auto"/>
        </w:rPr>
        <w:t>Delivering</w:t>
      </w:r>
      <w:r w:rsidRPr="005949DB">
        <w:rPr>
          <w:color w:val="auto"/>
        </w:rPr>
        <w:t xml:space="preserve"> access to over 1</w:t>
      </w:r>
      <w:r w:rsidR="0054662B">
        <w:rPr>
          <w:color w:val="auto"/>
        </w:rPr>
        <w:t>.4</w:t>
      </w:r>
      <w:r w:rsidRPr="005949DB">
        <w:rPr>
          <w:color w:val="auto"/>
        </w:rPr>
        <w:t xml:space="preserve"> million end-users</w:t>
      </w:r>
      <w:r w:rsidR="005424A6">
        <w:rPr>
          <w:color w:val="auto"/>
        </w:rPr>
        <w:t>,</w:t>
      </w:r>
      <w:r w:rsidRPr="005949DB">
        <w:rPr>
          <w:color w:val="auto"/>
        </w:rPr>
        <w:t xml:space="preserve"> </w:t>
      </w:r>
      <w:r w:rsidR="005424A6">
        <w:rPr>
          <w:color w:val="auto"/>
        </w:rPr>
        <w:t>the AAF</w:t>
      </w:r>
      <w:r w:rsidR="00C6516A">
        <w:rPr>
          <w:color w:val="auto"/>
        </w:rPr>
        <w:t xml:space="preserve"> has</w:t>
      </w:r>
      <w:r w:rsidRPr="005949DB">
        <w:rPr>
          <w:color w:val="auto"/>
        </w:rPr>
        <w:t xml:space="preserve"> a subscription base </w:t>
      </w:r>
      <w:r w:rsidR="00C6516A">
        <w:rPr>
          <w:color w:val="auto"/>
        </w:rPr>
        <w:t>of</w:t>
      </w:r>
      <w:r w:rsidR="00C6516A" w:rsidRPr="005949DB">
        <w:rPr>
          <w:color w:val="auto"/>
        </w:rPr>
        <w:t xml:space="preserve"> </w:t>
      </w:r>
      <w:r w:rsidRPr="005949DB">
        <w:rPr>
          <w:color w:val="auto"/>
        </w:rPr>
        <w:t>Australian higher education institutions and research organisations</w:t>
      </w:r>
      <w:r w:rsidR="00C6516A">
        <w:rPr>
          <w:color w:val="auto"/>
        </w:rPr>
        <w:t xml:space="preserve"> (e.g.</w:t>
      </w:r>
      <w:r w:rsidRPr="005949DB">
        <w:rPr>
          <w:color w:val="auto"/>
        </w:rPr>
        <w:t xml:space="preserve"> CSIRO</w:t>
      </w:r>
      <w:r w:rsidR="00C6516A">
        <w:rPr>
          <w:color w:val="auto"/>
        </w:rPr>
        <w:t xml:space="preserve"> and</w:t>
      </w:r>
      <w:r w:rsidRPr="005949DB">
        <w:rPr>
          <w:color w:val="auto"/>
        </w:rPr>
        <w:t xml:space="preserve"> many state-based research</w:t>
      </w:r>
      <w:r w:rsidR="00D13D1A">
        <w:rPr>
          <w:color w:val="auto"/>
        </w:rPr>
        <w:t xml:space="preserve"> </w:t>
      </w:r>
      <w:r w:rsidRPr="005949DB">
        <w:rPr>
          <w:color w:val="auto"/>
        </w:rPr>
        <w:t>support organisations</w:t>
      </w:r>
      <w:r w:rsidR="00C6516A">
        <w:rPr>
          <w:color w:val="auto"/>
        </w:rPr>
        <w:t>)</w:t>
      </w:r>
      <w:r w:rsidRPr="005949DB">
        <w:rPr>
          <w:color w:val="auto"/>
        </w:rPr>
        <w:t xml:space="preserve">. The AAF </w:t>
      </w:r>
      <w:r w:rsidR="00C6516A">
        <w:rPr>
          <w:color w:val="auto"/>
        </w:rPr>
        <w:t>has</w:t>
      </w:r>
      <w:r w:rsidR="00C6516A" w:rsidRPr="005949DB">
        <w:rPr>
          <w:color w:val="auto"/>
        </w:rPr>
        <w:t xml:space="preserve"> </w:t>
      </w:r>
      <w:r w:rsidR="00416D83">
        <w:rPr>
          <w:color w:val="auto"/>
        </w:rPr>
        <w:t>numerous</w:t>
      </w:r>
      <w:r w:rsidRPr="005949DB">
        <w:rPr>
          <w:color w:val="auto"/>
        </w:rPr>
        <w:t xml:space="preserve"> subscribe</w:t>
      </w:r>
      <w:r w:rsidR="00C6516A">
        <w:rPr>
          <w:color w:val="auto"/>
        </w:rPr>
        <w:t>rs</w:t>
      </w:r>
      <w:r w:rsidR="00416D83">
        <w:rPr>
          <w:color w:val="auto"/>
        </w:rPr>
        <w:t xml:space="preserve"> from </w:t>
      </w:r>
      <w:r w:rsidRPr="005949DB">
        <w:rPr>
          <w:color w:val="auto"/>
        </w:rPr>
        <w:t>local and international organisations that</w:t>
      </w:r>
      <w:r w:rsidR="00C6516A">
        <w:rPr>
          <w:color w:val="auto"/>
        </w:rPr>
        <w:t xml:space="preserve"> provide online</w:t>
      </w:r>
      <w:r w:rsidRPr="005949DB">
        <w:rPr>
          <w:color w:val="auto"/>
        </w:rPr>
        <w:t xml:space="preserve"> services to the Australian higher education and research sector.</w:t>
      </w:r>
    </w:p>
    <w:p w14:paraId="70AB2FDF" w14:textId="77777777" w:rsidR="002C223C" w:rsidRPr="005949DB" w:rsidRDefault="002C223C" w:rsidP="002C223C">
      <w:pPr>
        <w:rPr>
          <w:color w:val="auto"/>
        </w:rPr>
      </w:pPr>
    </w:p>
    <w:p w14:paraId="72586782" w14:textId="77777777" w:rsidR="002C223C" w:rsidRPr="005949DB" w:rsidRDefault="002C223C" w:rsidP="00651361">
      <w:pPr>
        <w:pStyle w:val="AAFLink0"/>
        <w:rPr>
          <w:rStyle w:val="Hyperlink"/>
          <w:color w:val="auto"/>
        </w:rPr>
      </w:pPr>
      <w:r w:rsidRPr="005949DB">
        <w:rPr>
          <w:color w:val="auto"/>
        </w:rPr>
        <w:t xml:space="preserve">For further information about the AAF go to: </w:t>
      </w:r>
      <w:hyperlink r:id="rId8" w:history="1">
        <w:r w:rsidRPr="005949DB">
          <w:rPr>
            <w:rStyle w:val="Hyperlink"/>
            <w:color w:val="3FA8DC" w:themeColor="accent5"/>
            <w:u w:val="none"/>
          </w:rPr>
          <w:t>www.aaf.edu.au</w:t>
        </w:r>
      </w:hyperlink>
    </w:p>
    <w:p w14:paraId="4487DCD7" w14:textId="77777777" w:rsidR="002C223C" w:rsidRDefault="002C223C" w:rsidP="002C223C"/>
    <w:p w14:paraId="328AA904" w14:textId="6A8338EF" w:rsidR="00D95385" w:rsidRDefault="00D95385" w:rsidP="005949DB">
      <w:pPr>
        <w:pStyle w:val="Heading1"/>
      </w:pPr>
      <w:r>
        <w:t>Project Overview</w:t>
      </w:r>
    </w:p>
    <w:p w14:paraId="0D9D97E0" w14:textId="748E09F6" w:rsidR="00D95385" w:rsidRDefault="00D95385" w:rsidP="00D95385">
      <w:pPr>
        <w:rPr>
          <w:color w:val="auto"/>
        </w:rPr>
      </w:pPr>
    </w:p>
    <w:p w14:paraId="15A6646B" w14:textId="1EA32664" w:rsidR="00993F11" w:rsidRPr="00CF54C5" w:rsidRDefault="00993F11" w:rsidP="00CF54C5">
      <w:pPr>
        <w:rPr>
          <w:color w:val="auto"/>
        </w:rPr>
      </w:pPr>
      <w:r w:rsidRPr="00CF54C5">
        <w:rPr>
          <w:color w:val="auto"/>
        </w:rPr>
        <w:t>The Australian BioCommons (BioCommons) is a research infrastructure being sponsored by Bioplatforms Australia (BPA). The BioCommons aims to enhance the productivity, capability and capacity of Australian research biologists and informaticians. It will:</w:t>
      </w:r>
    </w:p>
    <w:p w14:paraId="44CD03F5" w14:textId="750A15A3" w:rsidR="00993F11" w:rsidRPr="00CF54C5" w:rsidRDefault="00993F11" w:rsidP="00CF54C5">
      <w:pPr>
        <w:pStyle w:val="ListParagraph"/>
        <w:numPr>
          <w:ilvl w:val="0"/>
          <w:numId w:val="23"/>
        </w:numPr>
        <w:rPr>
          <w:color w:val="auto"/>
        </w:rPr>
      </w:pPr>
      <w:r w:rsidRPr="00CF54C5">
        <w:rPr>
          <w:color w:val="auto"/>
        </w:rPr>
        <w:t>Provide a new ability to apply and improve a growing array of digitally enabled bioinformatics research techniques, and to stay at the forefront of a wave of international investment and developments in these new technologies; and</w:t>
      </w:r>
    </w:p>
    <w:p w14:paraId="6E714D70" w14:textId="6C8C8404" w:rsidR="00993F11" w:rsidRPr="00CF54C5" w:rsidRDefault="00993F11" w:rsidP="00CF54C5">
      <w:pPr>
        <w:pStyle w:val="ListParagraph"/>
        <w:numPr>
          <w:ilvl w:val="0"/>
          <w:numId w:val="23"/>
        </w:numPr>
        <w:rPr>
          <w:color w:val="auto"/>
        </w:rPr>
      </w:pPr>
      <w:r w:rsidRPr="00CF54C5">
        <w:rPr>
          <w:color w:val="auto"/>
        </w:rPr>
        <w:t>Benefit the majority of life science researchers for whom bioinformatics is an increasingly important part of their research activities as well as a smaller set of leading researchers who develop biodata analysis techniques and for whom bioinformatics is a primary research methodology.</w:t>
      </w:r>
    </w:p>
    <w:p w14:paraId="57596B4E" w14:textId="5780B025" w:rsidR="00993F11" w:rsidRPr="00CF54C5" w:rsidRDefault="00993F11" w:rsidP="00CF54C5">
      <w:pPr>
        <w:pStyle w:val="ListParagraph"/>
        <w:numPr>
          <w:ilvl w:val="0"/>
          <w:numId w:val="23"/>
        </w:numPr>
        <w:rPr>
          <w:color w:val="auto"/>
        </w:rPr>
      </w:pPr>
      <w:r w:rsidRPr="00CF54C5">
        <w:rPr>
          <w:color w:val="auto"/>
        </w:rPr>
        <w:t>A key component of the BioCommons is a Human Genomes Platform - a services toolbox for improving FAIRness of human genomic data at the institutions that hold a large proportion of human genomes collected for research in Australia. The toolbox will build on existing browse and search functions at participating repositories to achieve controlled access and sharing by implementing standards and APIs from the Global Alliance for Genomic Health (GA4GH); and will also bring data holdings into alignment with the global human genome repository (European Genome Phenome Archive, EGA).</w:t>
      </w:r>
    </w:p>
    <w:p w14:paraId="3ABBEDFB" w14:textId="77777777" w:rsidR="00993F11" w:rsidRDefault="00993F11" w:rsidP="00993F11">
      <w:pPr>
        <w:rPr>
          <w:color w:val="auto"/>
        </w:rPr>
      </w:pPr>
    </w:p>
    <w:p w14:paraId="0596B60F" w14:textId="77777777" w:rsidR="00993F11" w:rsidRPr="00993F11" w:rsidRDefault="00993F11" w:rsidP="00993F11">
      <w:pPr>
        <w:rPr>
          <w:color w:val="auto"/>
        </w:rPr>
      </w:pPr>
      <w:r w:rsidRPr="00993F11">
        <w:rPr>
          <w:color w:val="auto"/>
        </w:rPr>
        <w:lastRenderedPageBreak/>
        <w:t>The expected capability enhancements include:</w:t>
      </w:r>
    </w:p>
    <w:p w14:paraId="08210C9F" w14:textId="275CFC62" w:rsidR="00993F11" w:rsidRPr="00993F11" w:rsidRDefault="00993F11" w:rsidP="00993F11">
      <w:pPr>
        <w:pStyle w:val="ListParagraph"/>
        <w:numPr>
          <w:ilvl w:val="0"/>
          <w:numId w:val="12"/>
        </w:numPr>
        <w:rPr>
          <w:color w:val="auto"/>
        </w:rPr>
      </w:pPr>
      <w:r w:rsidRPr="00993F11">
        <w:rPr>
          <w:color w:val="auto"/>
        </w:rPr>
        <w:t>A system to enable researchers identify virtual cohorts nationally by querying across the separate assets held by each participating repository;</w:t>
      </w:r>
    </w:p>
    <w:p w14:paraId="07EA5A4F" w14:textId="1C431914" w:rsidR="00993F11" w:rsidRPr="00993F11" w:rsidRDefault="00993F11" w:rsidP="00993F11">
      <w:pPr>
        <w:pStyle w:val="ListParagraph"/>
        <w:numPr>
          <w:ilvl w:val="0"/>
          <w:numId w:val="12"/>
        </w:numPr>
        <w:rPr>
          <w:color w:val="auto"/>
        </w:rPr>
      </w:pPr>
      <w:r w:rsidRPr="00993F11">
        <w:rPr>
          <w:color w:val="auto"/>
        </w:rPr>
        <w:t>Systems to expedite the work undertaken by Data Access Committees in determining whether specific data can be re-used by specific persons for specific purposes (upon receipt of data access requests);</w:t>
      </w:r>
    </w:p>
    <w:p w14:paraId="7873A173" w14:textId="354AFB5E" w:rsidR="00993F11" w:rsidRPr="00993F11" w:rsidRDefault="00993F11" w:rsidP="00993F11">
      <w:pPr>
        <w:pStyle w:val="ListParagraph"/>
        <w:numPr>
          <w:ilvl w:val="0"/>
          <w:numId w:val="12"/>
        </w:numPr>
        <w:rPr>
          <w:color w:val="auto"/>
        </w:rPr>
      </w:pPr>
      <w:r w:rsidRPr="00993F11">
        <w:rPr>
          <w:color w:val="auto"/>
        </w:rPr>
        <w:t>A migration to international standards compliant authorisation and authentication systems that are appropriate for human data sharing at participating repositories;</w:t>
      </w:r>
    </w:p>
    <w:p w14:paraId="7EB66809" w14:textId="189A0EBB" w:rsidR="00993F11" w:rsidRPr="00993F11" w:rsidRDefault="00993F11" w:rsidP="00993F11">
      <w:pPr>
        <w:pStyle w:val="ListParagraph"/>
        <w:numPr>
          <w:ilvl w:val="0"/>
          <w:numId w:val="12"/>
        </w:numPr>
        <w:rPr>
          <w:color w:val="auto"/>
        </w:rPr>
      </w:pPr>
      <w:r w:rsidRPr="00993F11">
        <w:rPr>
          <w:color w:val="auto"/>
        </w:rPr>
        <w:t>Systems at each participating repository to expedite upload of data and metadata to the international EGA repository (or local mirrors should they arise).</w:t>
      </w:r>
    </w:p>
    <w:p w14:paraId="338616BF" w14:textId="77777777" w:rsidR="00993F11" w:rsidRDefault="00993F11" w:rsidP="00993F11">
      <w:pPr>
        <w:rPr>
          <w:color w:val="auto"/>
        </w:rPr>
      </w:pPr>
    </w:p>
    <w:p w14:paraId="2A51D186" w14:textId="7FC639C6" w:rsidR="00993F11" w:rsidRDefault="00993F11" w:rsidP="00993F11">
      <w:pPr>
        <w:rPr>
          <w:color w:val="auto"/>
        </w:rPr>
      </w:pPr>
      <w:r w:rsidRPr="00993F11">
        <w:rPr>
          <w:color w:val="auto"/>
        </w:rPr>
        <w:t>The resulting deployments at each participating repository will position Australia at the forefront of</w:t>
      </w:r>
      <w:r>
        <w:rPr>
          <w:color w:val="auto"/>
        </w:rPr>
        <w:t xml:space="preserve"> </w:t>
      </w:r>
      <w:r w:rsidRPr="00993F11">
        <w:rPr>
          <w:color w:val="auto"/>
        </w:rPr>
        <w:t>bioinformatics infrastructure to support human genome analysis and substantially improve Australian</w:t>
      </w:r>
      <w:r>
        <w:rPr>
          <w:color w:val="auto"/>
        </w:rPr>
        <w:t xml:space="preserve"> </w:t>
      </w:r>
      <w:r w:rsidRPr="00993F11">
        <w:rPr>
          <w:color w:val="auto"/>
        </w:rPr>
        <w:t>research access to bioinformatics - one of the four primary goals of the NCRIS investment in BPA. This is an</w:t>
      </w:r>
      <w:r>
        <w:rPr>
          <w:color w:val="auto"/>
        </w:rPr>
        <w:t xml:space="preserve"> </w:t>
      </w:r>
      <w:r w:rsidRPr="00993F11">
        <w:rPr>
          <w:color w:val="auto"/>
        </w:rPr>
        <w:t>exploration and deployment project. Any operational expenses of any software infrastructures to be deployed</w:t>
      </w:r>
      <w:r>
        <w:rPr>
          <w:color w:val="auto"/>
        </w:rPr>
        <w:t xml:space="preserve"> </w:t>
      </w:r>
      <w:r w:rsidRPr="00993F11">
        <w:rPr>
          <w:color w:val="auto"/>
        </w:rPr>
        <w:t>at each partnering organisation are to be borne by the partnering organisations or are included in other</w:t>
      </w:r>
      <w:r>
        <w:rPr>
          <w:color w:val="auto"/>
        </w:rPr>
        <w:t xml:space="preserve"> </w:t>
      </w:r>
      <w:r w:rsidRPr="00993F11">
        <w:rPr>
          <w:color w:val="auto"/>
        </w:rPr>
        <w:t>funding lines of the BioCommons overall budget.</w:t>
      </w:r>
    </w:p>
    <w:p w14:paraId="4975E83D" w14:textId="77777777" w:rsidR="00993F11" w:rsidRDefault="00993F11" w:rsidP="00D95385">
      <w:pPr>
        <w:rPr>
          <w:color w:val="auto"/>
        </w:rPr>
      </w:pPr>
    </w:p>
    <w:p w14:paraId="124673AD" w14:textId="28F8339F" w:rsidR="00D95385" w:rsidRPr="005949DB" w:rsidRDefault="00D95385" w:rsidP="00D95385">
      <w:pPr>
        <w:rPr>
          <w:color w:val="auto"/>
        </w:rPr>
      </w:pPr>
      <w:r>
        <w:rPr>
          <w:color w:val="auto"/>
        </w:rPr>
        <w:t xml:space="preserve">More information about the project is available at the </w:t>
      </w:r>
      <w:r w:rsidR="00993F11">
        <w:rPr>
          <w:color w:val="auto"/>
        </w:rPr>
        <w:t>BioPlatforms Australia Website</w:t>
      </w:r>
      <w:r>
        <w:rPr>
          <w:color w:val="auto"/>
        </w:rPr>
        <w:t>.</w:t>
      </w:r>
    </w:p>
    <w:p w14:paraId="12CB09DF" w14:textId="77777777" w:rsidR="00D95385" w:rsidRDefault="00D95385" w:rsidP="00D95385">
      <w:pPr>
        <w:rPr>
          <w:color w:val="auto"/>
        </w:rPr>
      </w:pPr>
    </w:p>
    <w:p w14:paraId="1388A51E" w14:textId="07DC2FA6" w:rsidR="002C223C" w:rsidRPr="00C854A9" w:rsidRDefault="00C80FA3" w:rsidP="005949DB">
      <w:pPr>
        <w:pStyle w:val="Heading1"/>
      </w:pPr>
      <w:r>
        <w:t>The Role</w:t>
      </w:r>
    </w:p>
    <w:p w14:paraId="2F19F389" w14:textId="07A90FDC" w:rsidR="00CF54C5" w:rsidRDefault="00801B25" w:rsidP="00EE429D">
      <w:pPr>
        <w:rPr>
          <w:color w:val="auto"/>
        </w:rPr>
      </w:pPr>
      <w:r>
        <w:rPr>
          <w:color w:val="auto"/>
        </w:rPr>
        <w:t xml:space="preserve">As Business Analyst </w:t>
      </w:r>
      <w:r w:rsidR="00C970D9">
        <w:rPr>
          <w:color w:val="auto"/>
        </w:rPr>
        <w:t xml:space="preserve">for </w:t>
      </w:r>
      <w:r>
        <w:rPr>
          <w:color w:val="auto"/>
        </w:rPr>
        <w:t xml:space="preserve">the </w:t>
      </w:r>
      <w:r w:rsidR="00CF54C5">
        <w:rPr>
          <w:color w:val="auto"/>
        </w:rPr>
        <w:t>HGP</w:t>
      </w:r>
      <w:r w:rsidR="00A64153">
        <w:rPr>
          <w:color w:val="auto"/>
        </w:rPr>
        <w:t xml:space="preserve"> project </w:t>
      </w:r>
      <w:r>
        <w:rPr>
          <w:color w:val="auto"/>
        </w:rPr>
        <w:t xml:space="preserve">you will have a unique opportunity to </w:t>
      </w:r>
      <w:r w:rsidR="0070670D">
        <w:rPr>
          <w:color w:val="auto"/>
        </w:rPr>
        <w:t>shape</w:t>
      </w:r>
      <w:r>
        <w:rPr>
          <w:color w:val="auto"/>
        </w:rPr>
        <w:t xml:space="preserve"> the </w:t>
      </w:r>
      <w:r w:rsidR="00CF54C5">
        <w:rPr>
          <w:color w:val="auto"/>
        </w:rPr>
        <w:t>development of a trust and identity framework and systems by:</w:t>
      </w:r>
    </w:p>
    <w:p w14:paraId="5CCF4DE7" w14:textId="15E5B016" w:rsidR="00CF54C5" w:rsidRPr="00C80FA3" w:rsidRDefault="00CF54C5" w:rsidP="00C80FA3">
      <w:pPr>
        <w:pStyle w:val="ListParagraph"/>
        <w:numPr>
          <w:ilvl w:val="0"/>
          <w:numId w:val="29"/>
        </w:numPr>
        <w:rPr>
          <w:color w:val="auto"/>
        </w:rPr>
      </w:pPr>
      <w:r w:rsidRPr="00C80FA3">
        <w:rPr>
          <w:color w:val="auto"/>
        </w:rPr>
        <w:t xml:space="preserve">Ascertaining the Authentication and Authorisation need by researchers </w:t>
      </w:r>
      <w:r w:rsidR="0017462C">
        <w:rPr>
          <w:color w:val="auto"/>
        </w:rPr>
        <w:t>for</w:t>
      </w:r>
      <w:r w:rsidRPr="00C80FA3">
        <w:rPr>
          <w:color w:val="auto"/>
        </w:rPr>
        <w:t xml:space="preserve"> access</w:t>
      </w:r>
      <w:r w:rsidR="0017462C">
        <w:rPr>
          <w:color w:val="auto"/>
        </w:rPr>
        <w:t xml:space="preserve"> to</w:t>
      </w:r>
      <w:r w:rsidRPr="00C80FA3">
        <w:rPr>
          <w:color w:val="auto"/>
        </w:rPr>
        <w:t xml:space="preserve"> human genome data</w:t>
      </w:r>
      <w:r w:rsidR="00C80FA3">
        <w:rPr>
          <w:color w:val="auto"/>
        </w:rPr>
        <w:t>;</w:t>
      </w:r>
    </w:p>
    <w:p w14:paraId="782479BA" w14:textId="45C8DF95" w:rsidR="00CF54C5" w:rsidRPr="00C80FA3" w:rsidRDefault="00CF54C5" w:rsidP="00C80FA3">
      <w:pPr>
        <w:pStyle w:val="ListParagraph"/>
        <w:numPr>
          <w:ilvl w:val="0"/>
          <w:numId w:val="29"/>
        </w:numPr>
        <w:rPr>
          <w:color w:val="auto"/>
        </w:rPr>
      </w:pPr>
      <w:r w:rsidRPr="00C80FA3">
        <w:rPr>
          <w:color w:val="auto"/>
        </w:rPr>
        <w:t>Analysing international solutions and comparing the contrasting these against the needs of Australian researchers</w:t>
      </w:r>
      <w:r w:rsidR="00C80FA3">
        <w:rPr>
          <w:color w:val="auto"/>
        </w:rPr>
        <w:t>;</w:t>
      </w:r>
    </w:p>
    <w:p w14:paraId="2A9B71F9" w14:textId="3225CB2C" w:rsidR="00CF54C5" w:rsidRPr="00C80FA3" w:rsidRDefault="00C80FA3" w:rsidP="00C80FA3">
      <w:pPr>
        <w:pStyle w:val="ListParagraph"/>
        <w:numPr>
          <w:ilvl w:val="0"/>
          <w:numId w:val="29"/>
        </w:numPr>
        <w:rPr>
          <w:color w:val="auto"/>
        </w:rPr>
      </w:pPr>
      <w:r w:rsidRPr="00C80FA3">
        <w:rPr>
          <w:color w:val="auto"/>
        </w:rPr>
        <w:t>Playing a key role in the m</w:t>
      </w:r>
      <w:r w:rsidR="00CF54C5" w:rsidRPr="00C80FA3">
        <w:rPr>
          <w:color w:val="auto"/>
        </w:rPr>
        <w:t>igrati</w:t>
      </w:r>
      <w:r w:rsidRPr="00C80FA3">
        <w:rPr>
          <w:color w:val="auto"/>
        </w:rPr>
        <w:t>on</w:t>
      </w:r>
      <w:r w:rsidR="00CF54C5" w:rsidRPr="00C80FA3">
        <w:rPr>
          <w:color w:val="auto"/>
        </w:rPr>
        <w:t xml:space="preserve"> to standard</w:t>
      </w:r>
      <w:r w:rsidRPr="00C80FA3">
        <w:rPr>
          <w:color w:val="auto"/>
        </w:rPr>
        <w:t>s</w:t>
      </w:r>
      <w:r w:rsidR="00CF54C5" w:rsidRPr="00C80FA3">
        <w:rPr>
          <w:color w:val="auto"/>
        </w:rPr>
        <w:t xml:space="preserve"> compliant Authentication and Authorisation tools for human data sharing;</w:t>
      </w:r>
      <w:r>
        <w:rPr>
          <w:color w:val="auto"/>
        </w:rPr>
        <w:t xml:space="preserve"> and</w:t>
      </w:r>
    </w:p>
    <w:p w14:paraId="53FF214F" w14:textId="34B2ADA0" w:rsidR="00CF54C5" w:rsidRDefault="00C80FA3" w:rsidP="00C80FA3">
      <w:pPr>
        <w:pStyle w:val="ListParagraph"/>
        <w:numPr>
          <w:ilvl w:val="0"/>
          <w:numId w:val="29"/>
        </w:numPr>
        <w:rPr>
          <w:color w:val="auto"/>
        </w:rPr>
      </w:pPr>
      <w:r w:rsidRPr="00C80FA3">
        <w:rPr>
          <w:color w:val="auto"/>
        </w:rPr>
        <w:t>Playing a key role in the p</w:t>
      </w:r>
      <w:r w:rsidR="00CF54C5" w:rsidRPr="00C80FA3">
        <w:rPr>
          <w:color w:val="auto"/>
        </w:rPr>
        <w:t xml:space="preserve">iloting National Human Genome Authentication and Authorisation system against one </w:t>
      </w:r>
      <w:r w:rsidRPr="00C80FA3">
        <w:rPr>
          <w:color w:val="auto"/>
        </w:rPr>
        <w:t>o</w:t>
      </w:r>
      <w:r w:rsidR="00CF54C5" w:rsidRPr="00C80FA3">
        <w:rPr>
          <w:color w:val="auto"/>
        </w:rPr>
        <w:t>f the use cases.</w:t>
      </w:r>
    </w:p>
    <w:p w14:paraId="45BBAFF6" w14:textId="77777777" w:rsidR="00C80FA3" w:rsidRPr="00C80FA3" w:rsidRDefault="00C80FA3" w:rsidP="00C80FA3">
      <w:pPr>
        <w:rPr>
          <w:color w:val="auto"/>
        </w:rPr>
      </w:pPr>
    </w:p>
    <w:p w14:paraId="39E3DF3D" w14:textId="3798F3F7" w:rsidR="004473F6" w:rsidRPr="00E56199" w:rsidRDefault="00E56199" w:rsidP="00E56199">
      <w:pPr>
        <w:pStyle w:val="Heading1"/>
      </w:pPr>
      <w:r w:rsidRPr="00D70949">
        <w:t>Key Responsibilities</w:t>
      </w:r>
    </w:p>
    <w:p w14:paraId="73829022" w14:textId="566F1DC9"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Identify and understand complex </w:t>
      </w:r>
      <w:r w:rsidR="00986A4B">
        <w:rPr>
          <w:color w:val="353535" w:themeColor="text1"/>
        </w:rPr>
        <w:t>research</w:t>
      </w:r>
      <w:r w:rsidRPr="004D5FAE">
        <w:rPr>
          <w:color w:val="353535" w:themeColor="text1"/>
        </w:rPr>
        <w:t xml:space="preserve"> activities, systems and processes</w:t>
      </w:r>
      <w:r w:rsidR="00986A4B">
        <w:rPr>
          <w:color w:val="353535" w:themeColor="text1"/>
        </w:rPr>
        <w:t xml:space="preserve"> and related IT systems</w:t>
      </w:r>
      <w:r w:rsidRPr="004D5FAE">
        <w:rPr>
          <w:color w:val="353535" w:themeColor="text1"/>
        </w:rPr>
        <w:t>.</w:t>
      </w:r>
    </w:p>
    <w:p w14:paraId="72E0603C" w14:textId="0A765882"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Engage with a diverse group of </w:t>
      </w:r>
      <w:r w:rsidR="00986A4B">
        <w:rPr>
          <w:color w:val="353535" w:themeColor="text1"/>
        </w:rPr>
        <w:t>stakeholders including senior researchers, business managers and technical staff to clarify</w:t>
      </w:r>
      <w:r w:rsidRPr="004D5FAE">
        <w:rPr>
          <w:color w:val="353535" w:themeColor="text1"/>
        </w:rPr>
        <w:t xml:space="preserve"> requirements for the project.</w:t>
      </w:r>
    </w:p>
    <w:p w14:paraId="24D8CF9D" w14:textId="77777777"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Pr>
          <w:color w:val="353535" w:themeColor="text1"/>
        </w:rPr>
        <w:t>Collect, a</w:t>
      </w:r>
      <w:r w:rsidRPr="004D5FAE">
        <w:rPr>
          <w:color w:val="353535" w:themeColor="text1"/>
        </w:rPr>
        <w:t>nalyse and critically evaluate information from multiple sources, to formulate and document policies, processes and procedures.</w:t>
      </w:r>
    </w:p>
    <w:p w14:paraId="2CA19094" w14:textId="000D2079"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Conduct focus groups, field visits and research with the project's stakeholders to define and analyse requirements, </w:t>
      </w:r>
      <w:r w:rsidR="00986A4B">
        <w:rPr>
          <w:color w:val="353535" w:themeColor="text1"/>
        </w:rPr>
        <w:t>verify</w:t>
      </w:r>
      <w:r w:rsidRPr="004D5FAE">
        <w:rPr>
          <w:color w:val="353535" w:themeColor="text1"/>
        </w:rPr>
        <w:t xml:space="preserve"> completed products, perform user acceptance testing (UAT) and coordinate </w:t>
      </w:r>
      <w:r w:rsidR="00986A4B">
        <w:rPr>
          <w:color w:val="353535" w:themeColor="text1"/>
        </w:rPr>
        <w:t>rollout within stakeholder organisations</w:t>
      </w:r>
      <w:r w:rsidRPr="004D5FAE">
        <w:rPr>
          <w:color w:val="353535" w:themeColor="text1"/>
        </w:rPr>
        <w:t>.</w:t>
      </w:r>
    </w:p>
    <w:p w14:paraId="4D344FBD" w14:textId="77777777"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Develop end-user focussed documentation, including user manuals, quick reference guides, user/help documentation and training materials.</w:t>
      </w:r>
    </w:p>
    <w:p w14:paraId="6AE3D48F" w14:textId="01771E8C"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t xml:space="preserve">Provide analysis </w:t>
      </w:r>
      <w:r w:rsidR="00986A4B">
        <w:rPr>
          <w:color w:val="353535" w:themeColor="text1"/>
        </w:rPr>
        <w:t xml:space="preserve">or options </w:t>
      </w:r>
      <w:r w:rsidRPr="004D5FAE">
        <w:rPr>
          <w:color w:val="353535" w:themeColor="text1"/>
        </w:rPr>
        <w:t xml:space="preserve">and </w:t>
      </w:r>
      <w:r w:rsidR="00986A4B">
        <w:rPr>
          <w:color w:val="353535" w:themeColor="text1"/>
        </w:rPr>
        <w:t xml:space="preserve">progress </w:t>
      </w:r>
      <w:r w:rsidRPr="004D5FAE">
        <w:rPr>
          <w:color w:val="353535" w:themeColor="text1"/>
        </w:rPr>
        <w:t>reports to Project Steering Committees and the Project Manager.</w:t>
      </w:r>
    </w:p>
    <w:p w14:paraId="415E560E" w14:textId="77777777" w:rsidR="00947235" w:rsidRPr="004D5FAE" w:rsidRDefault="00947235" w:rsidP="00947235">
      <w:pPr>
        <w:pStyle w:val="ListParagraph"/>
        <w:keepNext w:val="0"/>
        <w:keepLines w:val="0"/>
        <w:numPr>
          <w:ilvl w:val="0"/>
          <w:numId w:val="2"/>
        </w:numPr>
        <w:tabs>
          <w:tab w:val="left" w:pos="1134"/>
        </w:tabs>
        <w:spacing w:line="276" w:lineRule="auto"/>
        <w:ind w:right="-330"/>
        <w:rPr>
          <w:color w:val="353535" w:themeColor="text1"/>
        </w:rPr>
      </w:pPr>
      <w:r w:rsidRPr="004D5FAE">
        <w:rPr>
          <w:color w:val="353535" w:themeColor="text1"/>
        </w:rPr>
        <w:lastRenderedPageBreak/>
        <w:t>Support continuous improvement.</w:t>
      </w:r>
    </w:p>
    <w:p w14:paraId="5D7F30DE" w14:textId="6DC20F6C" w:rsidR="00947235" w:rsidRDefault="00947235" w:rsidP="00947235">
      <w:pPr>
        <w:pStyle w:val="ListParagraph"/>
        <w:keepLines w:val="0"/>
        <w:numPr>
          <w:ilvl w:val="0"/>
          <w:numId w:val="2"/>
        </w:numPr>
        <w:spacing w:after="200" w:line="276" w:lineRule="auto"/>
        <w:rPr>
          <w:color w:val="auto"/>
        </w:rPr>
      </w:pPr>
      <w:r w:rsidRPr="004D5FAE">
        <w:rPr>
          <w:color w:val="353535" w:themeColor="text1"/>
        </w:rPr>
        <w:t>Provide support to the</w:t>
      </w:r>
      <w:r w:rsidR="00986A4B">
        <w:rPr>
          <w:color w:val="353535" w:themeColor="text1"/>
        </w:rPr>
        <w:t xml:space="preserve"> </w:t>
      </w:r>
      <w:r w:rsidR="00986A4B" w:rsidRPr="00986A4B">
        <w:rPr>
          <w:color w:val="353535" w:themeColor="text1"/>
        </w:rPr>
        <w:t>Head, Projects &amp; Managed Services</w:t>
      </w:r>
      <w:r w:rsidRPr="004D5FAE">
        <w:rPr>
          <w:color w:val="353535" w:themeColor="text1"/>
        </w:rPr>
        <w:t xml:space="preserve"> and other AAF</w:t>
      </w:r>
      <w:r w:rsidR="00FB5AC5">
        <w:rPr>
          <w:color w:val="353535" w:themeColor="text1"/>
        </w:rPr>
        <w:t xml:space="preserve"> and BioCommons</w:t>
      </w:r>
      <w:r w:rsidRPr="004D5FAE">
        <w:rPr>
          <w:color w:val="353535" w:themeColor="text1"/>
        </w:rPr>
        <w:t xml:space="preserve"> teams as directed</w:t>
      </w:r>
    </w:p>
    <w:p w14:paraId="3C8577E8" w14:textId="77777777" w:rsidR="002C223C" w:rsidRDefault="002C223C" w:rsidP="008A40C1">
      <w:pPr>
        <w:pStyle w:val="Heading1"/>
      </w:pPr>
      <w:r>
        <w:t>Your experience and skills</w:t>
      </w:r>
    </w:p>
    <w:p w14:paraId="6755D61F" w14:textId="77777777" w:rsidR="002C223C" w:rsidRPr="00C854A9" w:rsidRDefault="002C223C" w:rsidP="002C223C"/>
    <w:p w14:paraId="6304511B" w14:textId="77777777" w:rsidR="002C223C" w:rsidRDefault="002C223C" w:rsidP="00AF2370">
      <w:pPr>
        <w:pStyle w:val="AAFNormal"/>
      </w:pPr>
      <w:r>
        <w:t>We are seeking a motivated, organised and pro-active person to work with and contribute to our team.</w:t>
      </w:r>
    </w:p>
    <w:p w14:paraId="37A85D97" w14:textId="77777777" w:rsidR="002C223C" w:rsidRDefault="002C223C" w:rsidP="002C223C"/>
    <w:p w14:paraId="511B2918" w14:textId="7B48B7F2" w:rsidR="002C223C" w:rsidRPr="00136762" w:rsidRDefault="002C223C" w:rsidP="00AF2370">
      <w:pPr>
        <w:pStyle w:val="Heading1"/>
      </w:pPr>
      <w:r w:rsidRPr="00136762">
        <w:t xml:space="preserve">Qualifications </w:t>
      </w:r>
    </w:p>
    <w:p w14:paraId="35604672" w14:textId="0260A189" w:rsidR="002C223C" w:rsidRDefault="00101F69" w:rsidP="00AF2370">
      <w:pPr>
        <w:pStyle w:val="AAFNormal"/>
      </w:pPr>
      <w:r w:rsidRPr="00101F69">
        <w:t>A degree with subsequent relevant experience OR a combination of relevant experience, broad knowledge and industry training</w:t>
      </w:r>
      <w:r w:rsidR="002C223C">
        <w:t>.</w:t>
      </w:r>
    </w:p>
    <w:p w14:paraId="5021C163" w14:textId="77777777" w:rsidR="00101F69" w:rsidRDefault="00101F69" w:rsidP="00AF2370">
      <w:pPr>
        <w:pStyle w:val="AAFNormal"/>
      </w:pPr>
    </w:p>
    <w:p w14:paraId="40BA2E72" w14:textId="77777777" w:rsidR="002C223C" w:rsidRPr="00A878F7" w:rsidRDefault="002C223C" w:rsidP="00AF2370">
      <w:pPr>
        <w:pStyle w:val="Heading1"/>
      </w:pPr>
      <w:r w:rsidRPr="00A878F7">
        <w:t>Skills and Capabilities Required</w:t>
      </w:r>
    </w:p>
    <w:p w14:paraId="4194B583" w14:textId="00F5E9A0" w:rsidR="002C223C" w:rsidRDefault="002C223C" w:rsidP="002C223C">
      <w:pPr>
        <w:rPr>
          <w:color w:val="auto"/>
        </w:rPr>
      </w:pPr>
      <w:r w:rsidRPr="00AF2370">
        <w:rPr>
          <w:color w:val="auto"/>
        </w:rPr>
        <w:t>You will be assessed on the basis of relevant capability and capacity for the following:</w:t>
      </w:r>
    </w:p>
    <w:p w14:paraId="75105BE4" w14:textId="77777777" w:rsidR="00101F69" w:rsidRDefault="00101F69" w:rsidP="002C223C">
      <w:pPr>
        <w:rPr>
          <w:color w:val="auto"/>
        </w:rPr>
      </w:pPr>
    </w:p>
    <w:p w14:paraId="3A747D7F" w14:textId="39897875" w:rsidR="00101F69" w:rsidRPr="00AF2370" w:rsidRDefault="00101F69" w:rsidP="00101F69">
      <w:pPr>
        <w:pStyle w:val="Heading3"/>
      </w:pPr>
      <w:r>
        <w:t>Essential:</w:t>
      </w:r>
    </w:p>
    <w:p w14:paraId="0104443A" w14:textId="77777777" w:rsidR="002C223C" w:rsidRPr="00AF2370" w:rsidRDefault="002C223C" w:rsidP="002C223C">
      <w:pPr>
        <w:rPr>
          <w:color w:val="auto"/>
        </w:rPr>
      </w:pPr>
    </w:p>
    <w:p w14:paraId="0FA21F96"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bookmarkStart w:id="0" w:name="_Hlk78787274"/>
      <w:r w:rsidRPr="004D5FAE">
        <w:rPr>
          <w:color w:val="353535" w:themeColor="text1"/>
        </w:rPr>
        <w:t>Demonstrated experience in the development and implementation of complex information technology policies, processes, procedures and strategies.</w:t>
      </w:r>
    </w:p>
    <w:p w14:paraId="59A26FC5"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Demonstrated ability to collect, collate, analyse and document business requirements with diverse stakeholder groups.</w:t>
      </w:r>
    </w:p>
    <w:p w14:paraId="47A6ADD6" w14:textId="30CB5005"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 xml:space="preserve">Demonstrated ability to articulate business analysis outcomes (process maps, business processes, work flow) both in writing and via verbal communication, and develop high level documentation to articulate a formal set of </w:t>
      </w:r>
      <w:r w:rsidR="0014679A">
        <w:rPr>
          <w:color w:val="353535" w:themeColor="text1"/>
        </w:rPr>
        <w:t xml:space="preserve">requirements and </w:t>
      </w:r>
      <w:r w:rsidRPr="004D5FAE">
        <w:rPr>
          <w:color w:val="353535" w:themeColor="text1"/>
        </w:rPr>
        <w:t>recommendations.</w:t>
      </w:r>
    </w:p>
    <w:p w14:paraId="6067B957" w14:textId="2DF00FD1"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Demonstrated ability to</w:t>
      </w:r>
      <w:r w:rsidR="0070670D">
        <w:rPr>
          <w:color w:val="353535" w:themeColor="text1"/>
        </w:rPr>
        <w:t xml:space="preserve"> work through ambiguity to</w:t>
      </w:r>
      <w:r w:rsidRPr="004D5FAE">
        <w:rPr>
          <w:color w:val="353535" w:themeColor="text1"/>
        </w:rPr>
        <w:t xml:space="preserve"> plan, prioritise and organise project tasks, in order to meet deadlines, budgets and maintain desired work outcomes, including the proven ability to work effectively within an outcome-focussed, team-oriented environment.</w:t>
      </w:r>
    </w:p>
    <w:p w14:paraId="063E2D34"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Proven experience with leading focus groups to define and analyse user requirements, test completed products and perform user acceptance testing (UAT).</w:t>
      </w:r>
    </w:p>
    <w:p w14:paraId="1A58DB44" w14:textId="027F51B3"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 xml:space="preserve">Ability to effectively communicate complex ideas to senior management, </w:t>
      </w:r>
      <w:r w:rsidR="001D524A">
        <w:rPr>
          <w:color w:val="353535" w:themeColor="text1"/>
        </w:rPr>
        <w:t xml:space="preserve">project </w:t>
      </w:r>
      <w:r w:rsidR="006861BE">
        <w:rPr>
          <w:color w:val="353535" w:themeColor="text1"/>
        </w:rPr>
        <w:t>governance groups</w:t>
      </w:r>
      <w:r w:rsidR="001D524A">
        <w:rPr>
          <w:color w:val="353535" w:themeColor="text1"/>
        </w:rPr>
        <w:t xml:space="preserve">, </w:t>
      </w:r>
      <w:r w:rsidRPr="004D5FAE">
        <w:rPr>
          <w:color w:val="353535" w:themeColor="text1"/>
        </w:rPr>
        <w:t>information technology professionals and clients, including the ability to develop reports and write clear and concise documents.</w:t>
      </w:r>
    </w:p>
    <w:p w14:paraId="5DE07C18"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Ability to rapidly identify and understand complex IT business activities, systems and processes.</w:t>
      </w:r>
    </w:p>
    <w:p w14:paraId="08058DFF"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Demonstrated ability to provide leadership in the development of a client focussed, continuous improvement and quality assurance culture within a complex technological environment.</w:t>
      </w:r>
    </w:p>
    <w:p w14:paraId="58252AFB" w14:textId="77777777" w:rsidR="00101F69" w:rsidRPr="004D5FAE" w:rsidRDefault="00101F69" w:rsidP="00101F69">
      <w:pPr>
        <w:pStyle w:val="ListParagraph"/>
        <w:keepNext w:val="0"/>
        <w:keepLines w:val="0"/>
        <w:numPr>
          <w:ilvl w:val="0"/>
          <w:numId w:val="4"/>
        </w:numPr>
        <w:spacing w:after="200" w:line="276" w:lineRule="auto"/>
        <w:rPr>
          <w:color w:val="353535" w:themeColor="text1"/>
        </w:rPr>
      </w:pPr>
      <w:r w:rsidRPr="004D5FAE">
        <w:rPr>
          <w:color w:val="353535" w:themeColor="text1"/>
        </w:rPr>
        <w:t>Ability to work effectively with general direction and minimum supervision and independently represent and act on behalf of an organisation in a broad range of situations and environments.</w:t>
      </w:r>
    </w:p>
    <w:bookmarkEnd w:id="0"/>
    <w:p w14:paraId="5535C72F" w14:textId="7C5713CB" w:rsidR="00CB0BAA" w:rsidRDefault="00CB0BAA" w:rsidP="00101F69">
      <w:pPr>
        <w:pStyle w:val="Heading3"/>
      </w:pPr>
      <w:r>
        <w:lastRenderedPageBreak/>
        <w:t>Desirable:</w:t>
      </w:r>
    </w:p>
    <w:p w14:paraId="398F8D33" w14:textId="678F7A87" w:rsidR="002C223C" w:rsidRPr="00101F69" w:rsidRDefault="00101F69" w:rsidP="00101F69">
      <w:pPr>
        <w:pStyle w:val="ListParagraph"/>
        <w:keepNext w:val="0"/>
        <w:keepLines w:val="0"/>
        <w:numPr>
          <w:ilvl w:val="0"/>
          <w:numId w:val="9"/>
        </w:numPr>
        <w:spacing w:after="200" w:line="276" w:lineRule="auto"/>
        <w:rPr>
          <w:color w:val="353535" w:themeColor="text1"/>
        </w:rPr>
      </w:pPr>
      <w:r w:rsidRPr="00101F69">
        <w:rPr>
          <w:color w:val="353535" w:themeColor="text1"/>
        </w:rPr>
        <w:t>Ability to work effectively with general direction and minimum supervision and independently represent</w:t>
      </w:r>
    </w:p>
    <w:p w14:paraId="5328B6EA" w14:textId="20324AAE" w:rsidR="002C223C" w:rsidRDefault="002C223C" w:rsidP="005949DB">
      <w:pPr>
        <w:pStyle w:val="Heading1"/>
      </w:pPr>
      <w:r>
        <w:t xml:space="preserve">Other </w:t>
      </w:r>
      <w:r w:rsidR="00753742">
        <w:t>Job-Related</w:t>
      </w:r>
      <w:r>
        <w:t xml:space="preserve"> Information</w:t>
      </w:r>
    </w:p>
    <w:p w14:paraId="5BFE2398" w14:textId="77777777" w:rsidR="002C223C" w:rsidRDefault="002C223C" w:rsidP="002C223C"/>
    <w:p w14:paraId="3FA87056" w14:textId="77777777" w:rsidR="002C223C" w:rsidRPr="00BB04C2" w:rsidRDefault="002C223C" w:rsidP="002C223C">
      <w:pPr>
        <w:rPr>
          <w:color w:val="auto"/>
        </w:rPr>
      </w:pPr>
      <w:bookmarkStart w:id="1" w:name="_Hlk78793410"/>
      <w:r w:rsidRPr="00BB04C2">
        <w:rPr>
          <w:color w:val="auto"/>
        </w:rPr>
        <w:t>Applicants should note that:</w:t>
      </w:r>
    </w:p>
    <w:p w14:paraId="6C529F84" w14:textId="77777777" w:rsidR="00152C59" w:rsidRDefault="00152C59" w:rsidP="00152C59">
      <w:pPr>
        <w:pStyle w:val="iNormal"/>
        <w:rPr>
          <w:color w:val="353535" w:themeColor="text1"/>
        </w:rPr>
      </w:pPr>
      <w:r>
        <w:rPr>
          <w:color w:val="353535" w:themeColor="text1"/>
        </w:rPr>
        <w:t>The position is:</w:t>
      </w:r>
    </w:p>
    <w:p w14:paraId="196B568A" w14:textId="7749FBED" w:rsidR="00152C59" w:rsidRPr="00152C59" w:rsidRDefault="00152C59" w:rsidP="00152C59">
      <w:pPr>
        <w:pStyle w:val="iNormal"/>
        <w:numPr>
          <w:ilvl w:val="1"/>
          <w:numId w:val="3"/>
        </w:numPr>
        <w:rPr>
          <w:color w:val="353535" w:themeColor="text1"/>
        </w:rPr>
      </w:pPr>
      <w:r w:rsidRPr="00152C59">
        <w:rPr>
          <w:color w:val="353535" w:themeColor="text1"/>
        </w:rPr>
        <w:t>A fixed-term full-time position;</w:t>
      </w:r>
    </w:p>
    <w:p w14:paraId="45E3B2DD" w14:textId="77777777" w:rsidR="00152C59" w:rsidRPr="00152C59" w:rsidRDefault="00152C59" w:rsidP="00152C59">
      <w:pPr>
        <w:pStyle w:val="iNormal"/>
        <w:numPr>
          <w:ilvl w:val="1"/>
          <w:numId w:val="3"/>
        </w:numPr>
        <w:rPr>
          <w:color w:val="353535" w:themeColor="text1"/>
        </w:rPr>
      </w:pPr>
      <w:r w:rsidRPr="00152C59">
        <w:rPr>
          <w:color w:val="353535" w:themeColor="text1"/>
        </w:rPr>
        <w:t>A 35 hour week, with normal working hours from Monday through Friday;</w:t>
      </w:r>
    </w:p>
    <w:p w14:paraId="4B51B41B" w14:textId="77777777" w:rsidR="00152C59" w:rsidRPr="00152C59" w:rsidRDefault="00152C59" w:rsidP="00152C59">
      <w:pPr>
        <w:pStyle w:val="iNormal"/>
        <w:numPr>
          <w:ilvl w:val="1"/>
          <w:numId w:val="3"/>
        </w:numPr>
        <w:rPr>
          <w:color w:val="353535" w:themeColor="text1"/>
        </w:rPr>
      </w:pPr>
      <w:r w:rsidRPr="00152C59">
        <w:rPr>
          <w:color w:val="353535" w:themeColor="text1"/>
        </w:rPr>
        <w:t>Flexible working hours and work from home arrangements (subject to negotiation and prior approval);</w:t>
      </w:r>
    </w:p>
    <w:p w14:paraId="2953C83A" w14:textId="7662FE89" w:rsidR="002C223C" w:rsidRPr="00BB04C2" w:rsidRDefault="002C223C" w:rsidP="002C223C">
      <w:pPr>
        <w:pStyle w:val="iNormal"/>
        <w:ind w:left="709"/>
        <w:rPr>
          <w:color w:val="auto"/>
        </w:rPr>
      </w:pPr>
      <w:r w:rsidRPr="00BB04C2">
        <w:rPr>
          <w:color w:val="auto"/>
        </w:rPr>
        <w:t>Some travel may be required</w:t>
      </w:r>
      <w:r w:rsidR="00C80FA3">
        <w:rPr>
          <w:color w:val="auto"/>
        </w:rPr>
        <w:t xml:space="preserve"> (</w:t>
      </w:r>
      <w:r w:rsidR="00586D6C">
        <w:rPr>
          <w:color w:val="auto"/>
        </w:rPr>
        <w:t>circumstances permitting</w:t>
      </w:r>
      <w:r w:rsidR="00C80FA3">
        <w:rPr>
          <w:color w:val="auto"/>
        </w:rPr>
        <w:t>)</w:t>
      </w:r>
      <w:r w:rsidRPr="00BB04C2">
        <w:rPr>
          <w:color w:val="auto"/>
        </w:rPr>
        <w:t>.</w:t>
      </w:r>
    </w:p>
    <w:p w14:paraId="0E352D98" w14:textId="28C77ADD" w:rsidR="002C223C" w:rsidRPr="00BB04C2" w:rsidRDefault="002C223C" w:rsidP="002C223C">
      <w:pPr>
        <w:pStyle w:val="iNormal"/>
        <w:ind w:left="709"/>
        <w:rPr>
          <w:color w:val="auto"/>
        </w:rPr>
      </w:pPr>
      <w:r w:rsidRPr="00BB04C2">
        <w:rPr>
          <w:color w:val="auto"/>
        </w:rPr>
        <w:t xml:space="preserve">The position is based in </w:t>
      </w:r>
      <w:r w:rsidR="00C80FA3">
        <w:rPr>
          <w:color w:val="auto"/>
        </w:rPr>
        <w:t xml:space="preserve">an office in the city of the successful candidate, or a work from home arrangement may be supported subject to negotiation and </w:t>
      </w:r>
      <w:r w:rsidR="00A71EFB">
        <w:rPr>
          <w:color w:val="auto"/>
        </w:rPr>
        <w:t>approval.</w:t>
      </w:r>
    </w:p>
    <w:bookmarkEnd w:id="1"/>
    <w:p w14:paraId="323C508E" w14:textId="77777777" w:rsidR="00666A89" w:rsidRDefault="00666A89" w:rsidP="00AF2370">
      <w:pPr>
        <w:pStyle w:val="AAFNormal"/>
      </w:pPr>
    </w:p>
    <w:p w14:paraId="4EEB2DE7" w14:textId="77777777" w:rsidR="00ED1302" w:rsidRDefault="00ED1302" w:rsidP="00AF2370">
      <w:pPr>
        <w:pStyle w:val="AAFNormal"/>
      </w:pPr>
    </w:p>
    <w:sectPr w:rsidR="00ED1302" w:rsidSect="00ED1302">
      <w:headerReference w:type="default" r:id="rId9"/>
      <w:footerReference w:type="default" r:id="rId10"/>
      <w:headerReference w:type="first" r:id="rId11"/>
      <w:footerReference w:type="first" r:id="rId12"/>
      <w:pgSz w:w="11906" w:h="16838"/>
      <w:pgMar w:top="112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579E" w14:textId="77777777" w:rsidR="00057BAE" w:rsidRDefault="00057BAE" w:rsidP="00E679E0">
      <w:r>
        <w:separator/>
      </w:r>
    </w:p>
  </w:endnote>
  <w:endnote w:type="continuationSeparator" w:id="0">
    <w:p w14:paraId="5CDA88BC" w14:textId="77777777" w:rsidR="00057BAE" w:rsidRDefault="00057BAE" w:rsidP="00E6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4806"/>
      <w:docPartObj>
        <w:docPartGallery w:val="Page Numbers (Bottom of Page)"/>
        <w:docPartUnique/>
      </w:docPartObj>
    </w:sdtPr>
    <w:sdtEndPr/>
    <w:sdtContent>
      <w:p w14:paraId="65BD16A7" w14:textId="77777777" w:rsidR="00CB0BAA" w:rsidRDefault="00CB0BAA" w:rsidP="005B1B1D">
        <w:pPr>
          <w:pStyle w:val="Footer"/>
        </w:pPr>
        <w:r w:rsidRPr="0060491B">
          <w:rPr>
            <w:noProof/>
            <w:color w:val="E6E6E6" w:themeColor="background2" w:themeShade="E6"/>
            <w:lang w:val="en-US"/>
          </w:rPr>
          <w:drawing>
            <wp:anchor distT="0" distB="0" distL="114300" distR="114300" simplePos="0" relativeHeight="251663360" behindDoc="1" locked="0" layoutInCell="1" allowOverlap="1" wp14:anchorId="0EE95FC5" wp14:editId="2A0BB48D">
              <wp:simplePos x="0" y="0"/>
              <wp:positionH relativeFrom="margin">
                <wp:posOffset>-3139440</wp:posOffset>
              </wp:positionH>
              <wp:positionV relativeFrom="margin">
                <wp:posOffset>8675475</wp:posOffset>
              </wp:positionV>
              <wp:extent cx="12156440" cy="2984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4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0F2">
          <w:rPr>
            <w:rFonts w:cs="Calibri"/>
            <w:color w:val="F08528" w:themeColor="accent2"/>
            <w:sz w:val="16"/>
            <w:szCs w:val="16"/>
          </w:rPr>
          <w:t>© Australian Access Federation Ltd</w:t>
        </w:r>
        <w:r w:rsidRPr="0060491B">
          <w:rPr>
            <w:noProof/>
            <w:color w:val="E6E6E6" w:themeColor="background2" w:themeShade="E6"/>
          </w:rPr>
          <w:t xml:space="preserve"> </w:t>
        </w:r>
        <w:r>
          <w:rPr>
            <w:noProof/>
            <w:color w:val="E6E6E6" w:themeColor="background2" w:themeShade="E6"/>
          </w:rPr>
          <w:tab/>
        </w:r>
        <w:r>
          <w:rPr>
            <w:noProof/>
            <w:color w:val="E6E6E6" w:themeColor="background2" w:themeShade="E6"/>
          </w:rPr>
          <w:tab/>
        </w:r>
        <w:r w:rsidRPr="0060491B">
          <w:rPr>
            <w:color w:val="E6E6E6" w:themeColor="background2" w:themeShade="E6"/>
          </w:rPr>
          <w:t xml:space="preserve">Page | </w:t>
        </w:r>
        <w:r w:rsidRPr="0060491B">
          <w:rPr>
            <w:color w:val="E6E6E6" w:themeColor="background2" w:themeShade="E6"/>
          </w:rPr>
          <w:fldChar w:fldCharType="begin"/>
        </w:r>
        <w:r w:rsidRPr="0060491B">
          <w:rPr>
            <w:color w:val="E6E6E6" w:themeColor="background2" w:themeShade="E6"/>
          </w:rPr>
          <w:instrText xml:space="preserve"> PAGE   \* MERGEFORMAT </w:instrText>
        </w:r>
        <w:r w:rsidRPr="0060491B">
          <w:rPr>
            <w:color w:val="E6E6E6" w:themeColor="background2" w:themeShade="E6"/>
          </w:rPr>
          <w:fldChar w:fldCharType="separate"/>
        </w:r>
        <w:r w:rsidR="0055572A">
          <w:rPr>
            <w:noProof/>
            <w:color w:val="E6E6E6" w:themeColor="background2" w:themeShade="E6"/>
          </w:rPr>
          <w:t>4</w:t>
        </w:r>
        <w:r w:rsidRPr="0060491B">
          <w:rPr>
            <w:noProof/>
            <w:color w:val="E6E6E6" w:themeColor="background2" w:themeShade="E6"/>
          </w:rPr>
          <w:fldChar w:fldCharType="end"/>
        </w:r>
        <w:r>
          <w:t xml:space="preserve"> </w:t>
        </w:r>
      </w:p>
    </w:sdtContent>
  </w:sdt>
  <w:p w14:paraId="221AE5ED" w14:textId="77777777" w:rsidR="00CB0BAA" w:rsidRDefault="00CB0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8E5D" w14:textId="77777777" w:rsidR="00CB0BAA" w:rsidRDefault="00CB0BAA" w:rsidP="00647567">
    <w:pPr>
      <w:pStyle w:val="Footer"/>
    </w:pPr>
    <w:r w:rsidRPr="0060491B">
      <w:rPr>
        <w:noProof/>
        <w:color w:val="E6E6E6" w:themeColor="background2" w:themeShade="E6"/>
        <w:lang w:val="en-US"/>
      </w:rPr>
      <w:drawing>
        <wp:anchor distT="0" distB="0" distL="114300" distR="114300" simplePos="0" relativeHeight="251669504" behindDoc="1" locked="0" layoutInCell="1" allowOverlap="1" wp14:anchorId="0A922B8B" wp14:editId="1ECF0133">
          <wp:simplePos x="0" y="0"/>
          <wp:positionH relativeFrom="margin">
            <wp:posOffset>-3481148</wp:posOffset>
          </wp:positionH>
          <wp:positionV relativeFrom="margin">
            <wp:posOffset>8982762</wp:posOffset>
          </wp:positionV>
          <wp:extent cx="12156440" cy="2984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4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0F2">
      <w:rPr>
        <w:rFonts w:cs="Calibri"/>
        <w:color w:val="F08528" w:themeColor="accent2"/>
        <w:sz w:val="16"/>
        <w:szCs w:val="16"/>
      </w:rPr>
      <w:t>© Australian Access Federation Ltd</w:t>
    </w:r>
    <w:r>
      <w:rPr>
        <w:rFonts w:cs="Calibri"/>
        <w:color w:val="F08528" w:themeColor="accent2"/>
        <w:sz w:val="16"/>
        <w:szCs w:val="16"/>
      </w:rPr>
      <w:tab/>
    </w:r>
    <w:r>
      <w:rPr>
        <w:rFonts w:cs="Calibri"/>
        <w:color w:val="F08528" w:themeColor="accent2"/>
        <w:sz w:val="16"/>
        <w:szCs w:val="16"/>
      </w:rPr>
      <w:tab/>
    </w:r>
    <w:sdt>
      <w:sdtPr>
        <w:rPr>
          <w:color w:val="DCE0E3" w:themeColor="background1"/>
        </w:rPr>
        <w:id w:val="-833987480"/>
        <w:docPartObj>
          <w:docPartGallery w:val="Page Numbers (Bottom of Page)"/>
          <w:docPartUnique/>
        </w:docPartObj>
      </w:sdtPr>
      <w:sdtEndPr/>
      <w:sdtContent>
        <w:r w:rsidRPr="00647567">
          <w:rPr>
            <w:color w:val="DCE0E3" w:themeColor="background1"/>
          </w:rPr>
          <w:t xml:space="preserve">Page | </w:t>
        </w:r>
        <w:r w:rsidRPr="00647567">
          <w:rPr>
            <w:color w:val="DCE0E3" w:themeColor="background1"/>
          </w:rPr>
          <w:fldChar w:fldCharType="begin"/>
        </w:r>
        <w:r w:rsidRPr="00647567">
          <w:rPr>
            <w:color w:val="DCE0E3" w:themeColor="background1"/>
          </w:rPr>
          <w:instrText xml:space="preserve"> PAGE   \* MERGEFORMAT </w:instrText>
        </w:r>
        <w:r w:rsidRPr="00647567">
          <w:rPr>
            <w:color w:val="DCE0E3" w:themeColor="background1"/>
          </w:rPr>
          <w:fldChar w:fldCharType="separate"/>
        </w:r>
        <w:r w:rsidR="0055572A">
          <w:rPr>
            <w:noProof/>
            <w:color w:val="DCE0E3" w:themeColor="background1"/>
          </w:rPr>
          <w:t>1</w:t>
        </w:r>
        <w:r w:rsidRPr="00647567">
          <w:rPr>
            <w:noProof/>
            <w:color w:val="DCE0E3" w:themeColor="background1"/>
          </w:rPr>
          <w:fldChar w:fldCharType="end"/>
        </w:r>
        <w:r w:rsidRPr="00647567">
          <w:rPr>
            <w:color w:val="DCE0E3" w:themeColor="background1"/>
          </w:rPr>
          <w:t xml:space="preserve"> </w:t>
        </w:r>
      </w:sdtContent>
    </w:sdt>
  </w:p>
  <w:p w14:paraId="698B4B17" w14:textId="77777777" w:rsidR="00CB0BAA" w:rsidRPr="004F6859" w:rsidRDefault="00CB0BAA" w:rsidP="004F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E90C" w14:textId="77777777" w:rsidR="00057BAE" w:rsidRDefault="00057BAE" w:rsidP="00E679E0">
      <w:r>
        <w:separator/>
      </w:r>
    </w:p>
  </w:footnote>
  <w:footnote w:type="continuationSeparator" w:id="0">
    <w:p w14:paraId="47487F2C" w14:textId="77777777" w:rsidR="00057BAE" w:rsidRDefault="00057BAE" w:rsidP="00E6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50BE" w14:textId="77777777" w:rsidR="00CB0BAA" w:rsidRDefault="00CB0BAA">
    <w:pPr>
      <w:pStyle w:val="Header"/>
    </w:pPr>
  </w:p>
  <w:p w14:paraId="122C3B3B" w14:textId="77777777" w:rsidR="00CB0BAA" w:rsidRDefault="00CB0BAA">
    <w:pPr>
      <w:pStyle w:val="Header"/>
    </w:pPr>
    <w:r w:rsidRPr="00DF6C6E">
      <w:rPr>
        <w:noProof/>
        <w:color w:val="DCE0E3" w:themeColor="background1"/>
        <w:lang w:val="en-US"/>
      </w:rPr>
      <w:drawing>
        <wp:anchor distT="0" distB="0" distL="114300" distR="114300" simplePos="0" relativeHeight="251667456" behindDoc="1" locked="0" layoutInCell="1" allowOverlap="1" wp14:anchorId="11CD422C" wp14:editId="0A703D39">
          <wp:simplePos x="0" y="0"/>
          <wp:positionH relativeFrom="page">
            <wp:align>left</wp:align>
          </wp:positionH>
          <wp:positionV relativeFrom="margin">
            <wp:posOffset>-190294</wp:posOffset>
          </wp:positionV>
          <wp:extent cx="7726989" cy="45719"/>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F_footer_A4land_20191113.png"/>
                  <pic:cNvPicPr/>
                </pic:nvPicPr>
                <pic:blipFill>
                  <a:blip r:embed="rId1">
                    <a:extLst>
                      <a:ext uri="{28A0092B-C50C-407E-A947-70E740481C1C}">
                        <a14:useLocalDpi xmlns:a14="http://schemas.microsoft.com/office/drawing/2010/main" val="0"/>
                      </a:ext>
                    </a:extLst>
                  </a:blip>
                  <a:stretch>
                    <a:fillRect/>
                  </a:stretch>
                </pic:blipFill>
                <pic:spPr>
                  <a:xfrm>
                    <a:off x="0" y="0"/>
                    <a:ext cx="7726989" cy="45719"/>
                  </a:xfrm>
                  <a:prstGeom prst="rect">
                    <a:avLst/>
                  </a:prstGeom>
                </pic:spPr>
              </pic:pic>
            </a:graphicData>
          </a:graphic>
          <wp14:sizeRelH relativeFrom="margin">
            <wp14:pctWidth>0</wp14:pctWidth>
          </wp14:sizeRelH>
          <wp14:sizeRelV relativeFrom="margin">
            <wp14:pctHeight>0</wp14:pctHeight>
          </wp14:sizeRelV>
        </wp:anchor>
      </w:drawing>
    </w:r>
  </w:p>
  <w:p w14:paraId="45E8EE5F" w14:textId="77777777" w:rsidR="00CB0BAA" w:rsidRDefault="00CB0BAA" w:rsidP="00953A24">
    <w:pPr>
      <w:pStyle w:val="Header"/>
      <w:tabs>
        <w:tab w:val="clear" w:pos="4513"/>
        <w:tab w:val="clear" w:pos="9026"/>
        <w:tab w:val="right" w:pos="18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2E1F" w14:textId="77777777" w:rsidR="00CB0BAA" w:rsidRDefault="00CB0BAA">
    <w:pPr>
      <w:pStyle w:val="Header"/>
    </w:pPr>
    <w:r>
      <w:rPr>
        <w:noProof/>
        <w:lang w:val="en-US"/>
      </w:rPr>
      <w:drawing>
        <wp:anchor distT="0" distB="0" distL="114300" distR="114300" simplePos="0" relativeHeight="251665408" behindDoc="0" locked="0" layoutInCell="1" allowOverlap="1" wp14:anchorId="1E1A509A" wp14:editId="7292F371">
          <wp:simplePos x="0" y="0"/>
          <wp:positionH relativeFrom="page">
            <wp:posOffset>-116840</wp:posOffset>
          </wp:positionH>
          <wp:positionV relativeFrom="page">
            <wp:posOffset>-23334</wp:posOffset>
          </wp:positionV>
          <wp:extent cx="7669425" cy="136207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_header_A4_20191113-01.png"/>
                  <pic:cNvPicPr/>
                </pic:nvPicPr>
                <pic:blipFill>
                  <a:blip r:embed="rId1">
                    <a:extLst>
                      <a:ext uri="{28A0092B-C50C-407E-A947-70E740481C1C}">
                        <a14:useLocalDpi xmlns:a14="http://schemas.microsoft.com/office/drawing/2010/main" val="0"/>
                      </a:ext>
                    </a:extLst>
                  </a:blip>
                  <a:stretch>
                    <a:fillRect/>
                  </a:stretch>
                </pic:blipFill>
                <pic:spPr>
                  <a:xfrm>
                    <a:off x="0" y="0"/>
                    <a:ext cx="7669425" cy="1362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90E1ADA"/>
    <w:lvl w:ilvl="0">
      <w:start w:val="1"/>
      <w:numFmt w:val="decimal"/>
      <w:lvlText w:val="%1"/>
      <w:legacy w:legacy="1" w:legacySpace="0" w:legacyIndent="737"/>
      <w:lvlJc w:val="left"/>
      <w:pPr>
        <w:ind w:left="852" w:hanging="737"/>
      </w:pPr>
    </w:lvl>
    <w:lvl w:ilvl="1">
      <w:start w:val="1"/>
      <w:numFmt w:val="decimal"/>
      <w:lvlText w:val="%1.%2"/>
      <w:legacy w:legacy="1" w:legacySpace="0" w:legacyIndent="737"/>
      <w:lvlJc w:val="left"/>
      <w:pPr>
        <w:ind w:left="737" w:hanging="737"/>
      </w:pPr>
    </w:lvl>
    <w:lvl w:ilvl="2">
      <w:start w:val="1"/>
      <w:numFmt w:val="lowerLetter"/>
      <w:lvlText w:val="(%3)"/>
      <w:legacy w:legacy="1" w:legacySpace="0" w:legacyIndent="737"/>
      <w:lvlJc w:val="left"/>
      <w:pPr>
        <w:ind w:left="1474" w:hanging="737"/>
      </w:pPr>
    </w:lvl>
    <w:lvl w:ilvl="3">
      <w:start w:val="1"/>
      <w:numFmt w:val="lowerRoman"/>
      <w:lvlText w:val="(%4)"/>
      <w:legacy w:legacy="1" w:legacySpace="0" w:legacyIndent="737"/>
      <w:lvlJc w:val="left"/>
      <w:pPr>
        <w:ind w:left="2211" w:hanging="737"/>
      </w:pPr>
    </w:lvl>
    <w:lvl w:ilvl="4">
      <w:start w:val="1"/>
      <w:numFmt w:val="upperLetter"/>
      <w:lvlText w:val="(%5)"/>
      <w:legacy w:legacy="1" w:legacySpace="144" w:legacyIndent="0"/>
      <w:lvlJc w:val="left"/>
      <w:pPr>
        <w:ind w:left="2948" w:firstLine="0"/>
      </w:pPr>
    </w:lvl>
    <w:lvl w:ilvl="5">
      <w:start w:val="1"/>
      <w:numFmt w:val="lowerLetter"/>
      <w:lvlText w:val="(a%6)"/>
      <w:legacy w:legacy="1" w:legacySpace="0" w:legacyIndent="737"/>
      <w:lvlJc w:val="left"/>
      <w:pPr>
        <w:ind w:left="3685" w:hanging="737"/>
      </w:pPr>
    </w:lvl>
    <w:lvl w:ilvl="6">
      <w:start w:val="1"/>
      <w:numFmt w:val="none"/>
      <w:suff w:val="nothing"/>
      <w:lvlText w:val=""/>
      <w:lvlJc w:val="left"/>
    </w:lvl>
    <w:lvl w:ilvl="7">
      <w:start w:val="1"/>
      <w:numFmt w:val="lowerLetter"/>
      <w:lvlText w:val="(%8)"/>
      <w:legacy w:legacy="1" w:legacySpace="0" w:legacyIndent="737"/>
      <w:lvlJc w:val="left"/>
      <w:rPr>
        <w:rFonts w:ascii="Tms Rmn" w:hAnsi="Tms Rmn" w:hint="default"/>
      </w:rPr>
    </w:lvl>
    <w:lvl w:ilvl="8">
      <w:start w:val="1"/>
      <w:numFmt w:val="lowerRoman"/>
      <w:lvlText w:val="(%9)"/>
      <w:legacy w:legacy="1" w:legacySpace="0" w:legacyIndent="737"/>
      <w:lvlJc w:val="left"/>
      <w:rPr>
        <w:rFonts w:ascii="Tms Rmn" w:hAnsi="Tms Rmn" w:hint="default"/>
      </w:rPr>
    </w:lvl>
  </w:abstractNum>
  <w:abstractNum w:abstractNumId="1" w15:restartNumberingAfterBreak="0">
    <w:nsid w:val="0052711B"/>
    <w:multiLevelType w:val="hybridMultilevel"/>
    <w:tmpl w:val="6E94A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92CE1"/>
    <w:multiLevelType w:val="hybridMultilevel"/>
    <w:tmpl w:val="F6F0F4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107AC"/>
    <w:multiLevelType w:val="hybridMultilevel"/>
    <w:tmpl w:val="10EA306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75EDE"/>
    <w:multiLevelType w:val="hybridMultilevel"/>
    <w:tmpl w:val="8704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D5C9E"/>
    <w:multiLevelType w:val="hybridMultilevel"/>
    <w:tmpl w:val="BBDA1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F0311"/>
    <w:multiLevelType w:val="hybridMultilevel"/>
    <w:tmpl w:val="94089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76402"/>
    <w:multiLevelType w:val="hybridMultilevel"/>
    <w:tmpl w:val="CB228D2C"/>
    <w:lvl w:ilvl="0" w:tplc="E81C27E0">
      <w:start w:val="1"/>
      <w:numFmt w:val="decimal"/>
      <w:pStyle w:val="iNor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1B4309"/>
    <w:multiLevelType w:val="hybridMultilevel"/>
    <w:tmpl w:val="EE1C63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C52F79"/>
    <w:multiLevelType w:val="hybridMultilevel"/>
    <w:tmpl w:val="003085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8B14F3"/>
    <w:multiLevelType w:val="hybridMultilevel"/>
    <w:tmpl w:val="D6A05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1D7590"/>
    <w:multiLevelType w:val="hybridMultilevel"/>
    <w:tmpl w:val="625E26B4"/>
    <w:lvl w:ilvl="0" w:tplc="39FCC4F2">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6508D9"/>
    <w:multiLevelType w:val="hybridMultilevel"/>
    <w:tmpl w:val="37065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6C7005"/>
    <w:multiLevelType w:val="hybridMultilevel"/>
    <w:tmpl w:val="4E36BCA6"/>
    <w:lvl w:ilvl="0" w:tplc="5980DA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2F756B"/>
    <w:multiLevelType w:val="hybridMultilevel"/>
    <w:tmpl w:val="D896905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090C26"/>
    <w:multiLevelType w:val="hybridMultilevel"/>
    <w:tmpl w:val="6E94A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715B72"/>
    <w:multiLevelType w:val="hybridMultilevel"/>
    <w:tmpl w:val="F36E789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4B6FD3"/>
    <w:multiLevelType w:val="hybridMultilevel"/>
    <w:tmpl w:val="67E05C0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E12504"/>
    <w:multiLevelType w:val="hybridMultilevel"/>
    <w:tmpl w:val="613A5230"/>
    <w:lvl w:ilvl="0" w:tplc="758289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B0178E"/>
    <w:multiLevelType w:val="hybridMultilevel"/>
    <w:tmpl w:val="89F4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857A3B"/>
    <w:multiLevelType w:val="hybridMultilevel"/>
    <w:tmpl w:val="D24A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53975"/>
    <w:multiLevelType w:val="hybridMultilevel"/>
    <w:tmpl w:val="DCC4E7B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892D91"/>
    <w:multiLevelType w:val="hybridMultilevel"/>
    <w:tmpl w:val="A1AE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A3513"/>
    <w:multiLevelType w:val="hybridMultilevel"/>
    <w:tmpl w:val="A9E2EDC8"/>
    <w:lvl w:ilvl="0" w:tplc="78F4AC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E42E23"/>
    <w:multiLevelType w:val="hybridMultilevel"/>
    <w:tmpl w:val="8612F8CA"/>
    <w:lvl w:ilvl="0" w:tplc="FC1C75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BA375D"/>
    <w:multiLevelType w:val="hybridMultilevel"/>
    <w:tmpl w:val="697E639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A11D4A"/>
    <w:multiLevelType w:val="hybridMultilevel"/>
    <w:tmpl w:val="D1DCA086"/>
    <w:lvl w:ilvl="0" w:tplc="C15099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4960F5"/>
    <w:multiLevelType w:val="multilevel"/>
    <w:tmpl w:val="C004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9338C"/>
    <w:multiLevelType w:val="multilevel"/>
    <w:tmpl w:val="4550658E"/>
    <w:lvl w:ilvl="0">
      <w:start w:val="1"/>
      <w:numFmt w:val="decimal"/>
      <w:lvlText w:val="%1."/>
      <w:lvlJc w:val="left"/>
      <w:pPr>
        <w:ind w:left="852" w:hanging="737"/>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474" w:hanging="737"/>
      </w:pPr>
      <w:rPr>
        <w:rFonts w:hint="default"/>
      </w:rPr>
    </w:lvl>
    <w:lvl w:ilvl="3">
      <w:start w:val="1"/>
      <w:numFmt w:val="lowerRoman"/>
      <w:lvlText w:val="(%4)"/>
      <w:lvlJc w:val="left"/>
      <w:pPr>
        <w:ind w:left="2211" w:hanging="737"/>
      </w:pPr>
      <w:rPr>
        <w:rFonts w:hint="default"/>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Tms Rmn" w:hAnsi="Tms Rmn" w:hint="default"/>
      </w:rPr>
    </w:lvl>
    <w:lvl w:ilvl="8">
      <w:start w:val="1"/>
      <w:numFmt w:val="lowerRoman"/>
      <w:lvlText w:val="(%9)"/>
      <w:lvlJc w:val="left"/>
      <w:pPr>
        <w:ind w:left="0" w:firstLine="0"/>
      </w:pPr>
      <w:rPr>
        <w:rFonts w:ascii="Tms Rmn" w:hAnsi="Tms Rmn" w:hint="default"/>
      </w:rPr>
    </w:lvl>
  </w:abstractNum>
  <w:num w:numId="1">
    <w:abstractNumId w:val="28"/>
  </w:num>
  <w:num w:numId="2">
    <w:abstractNumId w:val="11"/>
  </w:num>
  <w:num w:numId="3">
    <w:abstractNumId w:val="7"/>
  </w:num>
  <w:num w:numId="4">
    <w:abstractNumId w:val="15"/>
  </w:num>
  <w:num w:numId="5">
    <w:abstractNumId w:val="22"/>
  </w:num>
  <w:num w:numId="6">
    <w:abstractNumId w:val="0"/>
  </w:num>
  <w:num w:numId="7">
    <w:abstractNumId w:val="12"/>
  </w:num>
  <w:num w:numId="8">
    <w:abstractNumId w:val="6"/>
  </w:num>
  <w:num w:numId="9">
    <w:abstractNumId w:val="1"/>
  </w:num>
  <w:num w:numId="10">
    <w:abstractNumId w:val="27"/>
  </w:num>
  <w:num w:numId="11">
    <w:abstractNumId w:val="20"/>
  </w:num>
  <w:num w:numId="12">
    <w:abstractNumId w:val="19"/>
  </w:num>
  <w:num w:numId="13">
    <w:abstractNumId w:val="21"/>
  </w:num>
  <w:num w:numId="14">
    <w:abstractNumId w:val="23"/>
  </w:num>
  <w:num w:numId="15">
    <w:abstractNumId w:val="3"/>
  </w:num>
  <w:num w:numId="16">
    <w:abstractNumId w:val="13"/>
  </w:num>
  <w:num w:numId="17">
    <w:abstractNumId w:val="14"/>
  </w:num>
  <w:num w:numId="18">
    <w:abstractNumId w:val="18"/>
  </w:num>
  <w:num w:numId="19">
    <w:abstractNumId w:val="16"/>
  </w:num>
  <w:num w:numId="20">
    <w:abstractNumId w:val="24"/>
  </w:num>
  <w:num w:numId="21">
    <w:abstractNumId w:val="25"/>
  </w:num>
  <w:num w:numId="22">
    <w:abstractNumId w:val="26"/>
  </w:num>
  <w:num w:numId="23">
    <w:abstractNumId w:val="5"/>
  </w:num>
  <w:num w:numId="24">
    <w:abstractNumId w:val="8"/>
  </w:num>
  <w:num w:numId="25">
    <w:abstractNumId w:val="9"/>
  </w:num>
  <w:num w:numId="26">
    <w:abstractNumId w:val="2"/>
  </w:num>
  <w:num w:numId="27">
    <w:abstractNumId w:val="10"/>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1NLG0tDCxsDQ1MDVV0lEKTi0uzszPAykwrwUATknqIywAAAA="/>
  </w:docVars>
  <w:rsids>
    <w:rsidRoot w:val="002C223C"/>
    <w:rsid w:val="00057BAE"/>
    <w:rsid w:val="00067D8F"/>
    <w:rsid w:val="00071C41"/>
    <w:rsid w:val="0007668A"/>
    <w:rsid w:val="000941EF"/>
    <w:rsid w:val="000A55F6"/>
    <w:rsid w:val="000B6350"/>
    <w:rsid w:val="000D4588"/>
    <w:rsid w:val="000D4CF0"/>
    <w:rsid w:val="000F1651"/>
    <w:rsid w:val="00101F69"/>
    <w:rsid w:val="00110423"/>
    <w:rsid w:val="0013462F"/>
    <w:rsid w:val="0014679A"/>
    <w:rsid w:val="00152C59"/>
    <w:rsid w:val="001548BD"/>
    <w:rsid w:val="00162693"/>
    <w:rsid w:val="0017462C"/>
    <w:rsid w:val="00184438"/>
    <w:rsid w:val="001930CF"/>
    <w:rsid w:val="001C0F59"/>
    <w:rsid w:val="001D524A"/>
    <w:rsid w:val="001D6339"/>
    <w:rsid w:val="0020588B"/>
    <w:rsid w:val="002120EA"/>
    <w:rsid w:val="0022347A"/>
    <w:rsid w:val="00227F15"/>
    <w:rsid w:val="0026009E"/>
    <w:rsid w:val="00270ADF"/>
    <w:rsid w:val="002A203E"/>
    <w:rsid w:val="002A262D"/>
    <w:rsid w:val="002A7D42"/>
    <w:rsid w:val="002B7F26"/>
    <w:rsid w:val="002C223C"/>
    <w:rsid w:val="002C3181"/>
    <w:rsid w:val="00345213"/>
    <w:rsid w:val="00395943"/>
    <w:rsid w:val="00396D74"/>
    <w:rsid w:val="003B380E"/>
    <w:rsid w:val="003B4EC1"/>
    <w:rsid w:val="003D3F85"/>
    <w:rsid w:val="003F2312"/>
    <w:rsid w:val="00413691"/>
    <w:rsid w:val="00413E40"/>
    <w:rsid w:val="00416D83"/>
    <w:rsid w:val="004237C6"/>
    <w:rsid w:val="00433446"/>
    <w:rsid w:val="00441C3E"/>
    <w:rsid w:val="00445FB4"/>
    <w:rsid w:val="004473F6"/>
    <w:rsid w:val="004566BB"/>
    <w:rsid w:val="004624FE"/>
    <w:rsid w:val="00462515"/>
    <w:rsid w:val="00462BD2"/>
    <w:rsid w:val="004725C7"/>
    <w:rsid w:val="00473D5E"/>
    <w:rsid w:val="0048671F"/>
    <w:rsid w:val="004B4E25"/>
    <w:rsid w:val="004D0393"/>
    <w:rsid w:val="004F516B"/>
    <w:rsid w:val="004F6859"/>
    <w:rsid w:val="00525E27"/>
    <w:rsid w:val="005424A6"/>
    <w:rsid w:val="0054662B"/>
    <w:rsid w:val="0055572A"/>
    <w:rsid w:val="00557367"/>
    <w:rsid w:val="00571C87"/>
    <w:rsid w:val="00575FAF"/>
    <w:rsid w:val="00584C37"/>
    <w:rsid w:val="00586C44"/>
    <w:rsid w:val="00586D6C"/>
    <w:rsid w:val="005949DB"/>
    <w:rsid w:val="005A44FF"/>
    <w:rsid w:val="005A7779"/>
    <w:rsid w:val="005B0ACE"/>
    <w:rsid w:val="005B1B1D"/>
    <w:rsid w:val="005B39BF"/>
    <w:rsid w:val="005B45AC"/>
    <w:rsid w:val="005E339E"/>
    <w:rsid w:val="005E33AB"/>
    <w:rsid w:val="005F3995"/>
    <w:rsid w:val="0060491B"/>
    <w:rsid w:val="00605AA9"/>
    <w:rsid w:val="006122C1"/>
    <w:rsid w:val="00620920"/>
    <w:rsid w:val="00625BDF"/>
    <w:rsid w:val="0063252D"/>
    <w:rsid w:val="00641024"/>
    <w:rsid w:val="00641729"/>
    <w:rsid w:val="00647567"/>
    <w:rsid w:val="00651361"/>
    <w:rsid w:val="00654A4F"/>
    <w:rsid w:val="006567D2"/>
    <w:rsid w:val="00666A89"/>
    <w:rsid w:val="00671281"/>
    <w:rsid w:val="006826DB"/>
    <w:rsid w:val="00682D28"/>
    <w:rsid w:val="006861BE"/>
    <w:rsid w:val="006E1320"/>
    <w:rsid w:val="006F164B"/>
    <w:rsid w:val="0070670D"/>
    <w:rsid w:val="00736ECA"/>
    <w:rsid w:val="00752B08"/>
    <w:rsid w:val="00753742"/>
    <w:rsid w:val="007805EA"/>
    <w:rsid w:val="007836A2"/>
    <w:rsid w:val="007C0BCB"/>
    <w:rsid w:val="007C5826"/>
    <w:rsid w:val="007D7A3C"/>
    <w:rsid w:val="007E5CDB"/>
    <w:rsid w:val="007F0806"/>
    <w:rsid w:val="007F6984"/>
    <w:rsid w:val="00801B25"/>
    <w:rsid w:val="00810967"/>
    <w:rsid w:val="00840678"/>
    <w:rsid w:val="00852735"/>
    <w:rsid w:val="0086476C"/>
    <w:rsid w:val="00867B05"/>
    <w:rsid w:val="008705AB"/>
    <w:rsid w:val="00880669"/>
    <w:rsid w:val="008A40C1"/>
    <w:rsid w:val="008A4180"/>
    <w:rsid w:val="008A5D0A"/>
    <w:rsid w:val="008B0A20"/>
    <w:rsid w:val="008B2C9B"/>
    <w:rsid w:val="008F6CC5"/>
    <w:rsid w:val="00913B67"/>
    <w:rsid w:val="00915AA4"/>
    <w:rsid w:val="00926287"/>
    <w:rsid w:val="00947235"/>
    <w:rsid w:val="00953A24"/>
    <w:rsid w:val="0095426B"/>
    <w:rsid w:val="009573D2"/>
    <w:rsid w:val="009640FA"/>
    <w:rsid w:val="00971495"/>
    <w:rsid w:val="00986A4B"/>
    <w:rsid w:val="00990B6E"/>
    <w:rsid w:val="00993F11"/>
    <w:rsid w:val="009A4276"/>
    <w:rsid w:val="009B3095"/>
    <w:rsid w:val="009D3F26"/>
    <w:rsid w:val="00A27A5F"/>
    <w:rsid w:val="00A37974"/>
    <w:rsid w:val="00A50EEB"/>
    <w:rsid w:val="00A51BB2"/>
    <w:rsid w:val="00A51E31"/>
    <w:rsid w:val="00A63317"/>
    <w:rsid w:val="00A64153"/>
    <w:rsid w:val="00A71EFB"/>
    <w:rsid w:val="00A921DF"/>
    <w:rsid w:val="00AC2938"/>
    <w:rsid w:val="00AF2370"/>
    <w:rsid w:val="00AF27F5"/>
    <w:rsid w:val="00B04AFF"/>
    <w:rsid w:val="00B13DBC"/>
    <w:rsid w:val="00B3275C"/>
    <w:rsid w:val="00B37D06"/>
    <w:rsid w:val="00B47DA9"/>
    <w:rsid w:val="00B709F0"/>
    <w:rsid w:val="00B73FFF"/>
    <w:rsid w:val="00B7407D"/>
    <w:rsid w:val="00B82F81"/>
    <w:rsid w:val="00B963F2"/>
    <w:rsid w:val="00BB04C2"/>
    <w:rsid w:val="00BB47CC"/>
    <w:rsid w:val="00BD54A7"/>
    <w:rsid w:val="00BF0EF0"/>
    <w:rsid w:val="00C1260C"/>
    <w:rsid w:val="00C13B97"/>
    <w:rsid w:val="00C23236"/>
    <w:rsid w:val="00C35B11"/>
    <w:rsid w:val="00C5699F"/>
    <w:rsid w:val="00C6516A"/>
    <w:rsid w:val="00C67A5E"/>
    <w:rsid w:val="00C67EEC"/>
    <w:rsid w:val="00C80FA3"/>
    <w:rsid w:val="00C970D9"/>
    <w:rsid w:val="00CA578C"/>
    <w:rsid w:val="00CA6F64"/>
    <w:rsid w:val="00CB0BAA"/>
    <w:rsid w:val="00CE5107"/>
    <w:rsid w:val="00CF54C5"/>
    <w:rsid w:val="00D13D1A"/>
    <w:rsid w:val="00D238CC"/>
    <w:rsid w:val="00D23A3C"/>
    <w:rsid w:val="00D26EDE"/>
    <w:rsid w:val="00D36F48"/>
    <w:rsid w:val="00D4204E"/>
    <w:rsid w:val="00D476FA"/>
    <w:rsid w:val="00D83C67"/>
    <w:rsid w:val="00D95385"/>
    <w:rsid w:val="00DD3256"/>
    <w:rsid w:val="00DF6D71"/>
    <w:rsid w:val="00E11F59"/>
    <w:rsid w:val="00E179AE"/>
    <w:rsid w:val="00E17E86"/>
    <w:rsid w:val="00E56199"/>
    <w:rsid w:val="00E679E0"/>
    <w:rsid w:val="00E96272"/>
    <w:rsid w:val="00ED1302"/>
    <w:rsid w:val="00ED3A70"/>
    <w:rsid w:val="00ED3DB7"/>
    <w:rsid w:val="00EE36CC"/>
    <w:rsid w:val="00EE429D"/>
    <w:rsid w:val="00EF7BE0"/>
    <w:rsid w:val="00F13356"/>
    <w:rsid w:val="00F40C21"/>
    <w:rsid w:val="00F411BB"/>
    <w:rsid w:val="00F47B27"/>
    <w:rsid w:val="00F528EC"/>
    <w:rsid w:val="00F57EE9"/>
    <w:rsid w:val="00F67615"/>
    <w:rsid w:val="00F827D9"/>
    <w:rsid w:val="00F96E2B"/>
    <w:rsid w:val="00FB5AC5"/>
    <w:rsid w:val="00FD03DD"/>
    <w:rsid w:val="00FE11D3"/>
    <w:rsid w:val="00FE19C7"/>
    <w:rsid w:val="00FE6727"/>
    <w:rsid w:val="00FF089C"/>
    <w:rsid w:val="00FF2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801DF5"/>
  <w15:docId w15:val="{F65D6678-2692-4BFF-95AC-D9E439C0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53535"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385"/>
    <w:pPr>
      <w:keepNext/>
      <w:keepLines/>
      <w:spacing w:after="0" w:line="240" w:lineRule="auto"/>
    </w:pPr>
    <w:rPr>
      <w:rFonts w:eastAsia="Times New Roman" w:cs="Times New Roman"/>
      <w:color w:val="676767" w:themeColor="text1" w:themeTint="BF"/>
      <w:szCs w:val="24"/>
    </w:rPr>
  </w:style>
  <w:style w:type="paragraph" w:styleId="Heading1">
    <w:name w:val="heading 1"/>
    <w:aliases w:val="AAF Heading 2"/>
    <w:basedOn w:val="Heading2"/>
    <w:next w:val="Normal"/>
    <w:link w:val="Heading1Char"/>
    <w:autoRedefine/>
    <w:qFormat/>
    <w:rsid w:val="005949DB"/>
    <w:pPr>
      <w:outlineLvl w:val="0"/>
    </w:pPr>
    <w:rPr>
      <w:i w:val="0"/>
      <w:color w:val="376BB0" w:themeColor="accent1"/>
      <w:sz w:val="28"/>
      <w:szCs w:val="32"/>
    </w:rPr>
  </w:style>
  <w:style w:type="paragraph" w:styleId="Heading2">
    <w:name w:val="heading 2"/>
    <w:aliases w:val="AAF Heading 3"/>
    <w:basedOn w:val="Heading3"/>
    <w:next w:val="Normal"/>
    <w:link w:val="Heading2Char"/>
    <w:autoRedefine/>
    <w:uiPriority w:val="9"/>
    <w:unhideWhenUsed/>
    <w:qFormat/>
    <w:rsid w:val="00F47B27"/>
    <w:pPr>
      <w:spacing w:before="120"/>
      <w:outlineLvl w:val="1"/>
    </w:pPr>
    <w:rPr>
      <w:rFonts w:ascii="Century Gothic" w:hAnsi="Century Gothic"/>
      <w:i/>
      <w:color w:val="606161" w:themeColor="text2"/>
      <w:szCs w:val="26"/>
    </w:rPr>
  </w:style>
  <w:style w:type="paragraph" w:styleId="Heading3">
    <w:name w:val="heading 3"/>
    <w:basedOn w:val="Normal"/>
    <w:next w:val="Normal"/>
    <w:link w:val="Heading3Char"/>
    <w:uiPriority w:val="9"/>
    <w:unhideWhenUsed/>
    <w:qFormat/>
    <w:rsid w:val="00C23236"/>
    <w:pPr>
      <w:spacing w:before="40"/>
      <w:outlineLvl w:val="2"/>
    </w:pPr>
    <w:rPr>
      <w:rFonts w:asciiTheme="majorHAnsi" w:eastAsiaTheme="majorEastAsia" w:hAnsiTheme="majorHAnsi" w:cstheme="majorBidi"/>
      <w:color w:val="1B3557" w:themeColor="accent1" w:themeShade="7F"/>
      <w:sz w:val="24"/>
    </w:rPr>
  </w:style>
  <w:style w:type="paragraph" w:styleId="Heading4">
    <w:name w:val="heading 4"/>
    <w:aliases w:val="AAF Heading 4"/>
    <w:next w:val="AAFNormal"/>
    <w:link w:val="Heading4Char"/>
    <w:autoRedefine/>
    <w:uiPriority w:val="5"/>
    <w:unhideWhenUsed/>
    <w:qFormat/>
    <w:rsid w:val="00F47B27"/>
    <w:pPr>
      <w:keepNext/>
      <w:keepLines/>
      <w:spacing w:before="120" w:after="0" w:line="240" w:lineRule="auto"/>
      <w:outlineLvl w:val="3"/>
    </w:pPr>
    <w:rPr>
      <w:rFonts w:asciiTheme="majorHAnsi" w:eastAsiaTheme="majorEastAsia" w:hAnsiTheme="majorHAnsi" w:cstheme="majorBidi"/>
      <w:b/>
      <w:iCs/>
      <w:color w:val="376BB0" w:themeColor="accent1"/>
    </w:rPr>
  </w:style>
  <w:style w:type="paragraph" w:styleId="Heading5">
    <w:name w:val="heading 5"/>
    <w:aliases w:val="AAF Heading 5"/>
    <w:basedOn w:val="Heading6"/>
    <w:next w:val="Normal"/>
    <w:link w:val="Heading5Char"/>
    <w:autoRedefine/>
    <w:uiPriority w:val="6"/>
    <w:unhideWhenUsed/>
    <w:qFormat/>
    <w:rsid w:val="00A51E31"/>
    <w:pPr>
      <w:outlineLvl w:val="4"/>
    </w:pPr>
    <w:rPr>
      <w:b/>
      <w:i/>
      <w:color w:val="606161" w:themeColor="text2"/>
    </w:rPr>
  </w:style>
  <w:style w:type="paragraph" w:styleId="Heading6">
    <w:name w:val="heading 6"/>
    <w:aliases w:val="AAF Heading 6"/>
    <w:basedOn w:val="Heading7"/>
    <w:next w:val="AAFNormal"/>
    <w:link w:val="Heading6Char"/>
    <w:autoRedefine/>
    <w:uiPriority w:val="7"/>
    <w:unhideWhenUsed/>
    <w:qFormat/>
    <w:rsid w:val="005949DB"/>
    <w:pPr>
      <w:spacing w:before="120"/>
      <w:outlineLvl w:val="5"/>
    </w:pPr>
    <w:rPr>
      <w:i w:val="0"/>
      <w:color w:val="3FA8DC" w:themeColor="accent5"/>
    </w:rPr>
  </w:style>
  <w:style w:type="paragraph" w:styleId="Heading7">
    <w:name w:val="heading 7"/>
    <w:basedOn w:val="Normal"/>
    <w:next w:val="Normal"/>
    <w:link w:val="Heading7Char"/>
    <w:uiPriority w:val="9"/>
    <w:semiHidden/>
    <w:unhideWhenUsed/>
    <w:rsid w:val="004F6859"/>
    <w:pPr>
      <w:spacing w:before="40"/>
      <w:outlineLvl w:val="6"/>
    </w:pPr>
    <w:rPr>
      <w:rFonts w:asciiTheme="majorHAnsi" w:eastAsiaTheme="majorEastAsia" w:hAnsiTheme="majorHAnsi" w:cstheme="majorBidi"/>
      <w:i/>
      <w:iCs/>
      <w:color w:val="1B35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9E0"/>
    <w:pPr>
      <w:tabs>
        <w:tab w:val="center" w:pos="4513"/>
        <w:tab w:val="right" w:pos="9026"/>
      </w:tabs>
    </w:pPr>
  </w:style>
  <w:style w:type="character" w:customStyle="1" w:styleId="HeaderChar">
    <w:name w:val="Header Char"/>
    <w:basedOn w:val="DefaultParagraphFont"/>
    <w:link w:val="Header"/>
    <w:uiPriority w:val="99"/>
    <w:rsid w:val="00E679E0"/>
  </w:style>
  <w:style w:type="paragraph" w:styleId="Footer">
    <w:name w:val="footer"/>
    <w:basedOn w:val="Normal"/>
    <w:link w:val="FooterChar"/>
    <w:uiPriority w:val="99"/>
    <w:unhideWhenUsed/>
    <w:rsid w:val="00E679E0"/>
    <w:pPr>
      <w:tabs>
        <w:tab w:val="center" w:pos="4513"/>
        <w:tab w:val="right" w:pos="9026"/>
      </w:tabs>
    </w:pPr>
  </w:style>
  <w:style w:type="character" w:customStyle="1" w:styleId="FooterChar">
    <w:name w:val="Footer Char"/>
    <w:basedOn w:val="DefaultParagraphFont"/>
    <w:link w:val="Footer"/>
    <w:uiPriority w:val="99"/>
    <w:rsid w:val="00E679E0"/>
  </w:style>
  <w:style w:type="paragraph" w:customStyle="1" w:styleId="AAFNormal">
    <w:name w:val="AAF Normal"/>
    <w:basedOn w:val="Normal"/>
    <w:link w:val="AAFNormalChar"/>
    <w:autoRedefine/>
    <w:qFormat/>
    <w:rsid w:val="00AF2370"/>
    <w:rPr>
      <w:bCs/>
      <w:iCs/>
      <w:color w:val="auto"/>
    </w:rPr>
  </w:style>
  <w:style w:type="character" w:customStyle="1" w:styleId="Heading1Char">
    <w:name w:val="Heading 1 Char"/>
    <w:aliases w:val="AAF Heading 2 Char"/>
    <w:basedOn w:val="DefaultParagraphFont"/>
    <w:link w:val="Heading1"/>
    <w:rsid w:val="005949DB"/>
    <w:rPr>
      <w:rFonts w:ascii="Century Gothic" w:eastAsiaTheme="majorEastAsia" w:hAnsi="Century Gothic" w:cstheme="majorBidi"/>
      <w:color w:val="376BB0" w:themeColor="accent1"/>
      <w:sz w:val="28"/>
      <w:szCs w:val="32"/>
    </w:rPr>
  </w:style>
  <w:style w:type="character" w:customStyle="1" w:styleId="AAFNormalChar">
    <w:name w:val="AAF Normal Char"/>
    <w:basedOn w:val="DefaultParagraphFont"/>
    <w:link w:val="AAFNormal"/>
    <w:rsid w:val="00AF2370"/>
    <w:rPr>
      <w:rFonts w:eastAsia="Times New Roman" w:cs="Times New Roman"/>
      <w:bCs/>
      <w:iCs/>
      <w:color w:val="auto"/>
      <w:szCs w:val="24"/>
    </w:rPr>
  </w:style>
  <w:style w:type="paragraph" w:customStyle="1" w:styleId="AAFTitle">
    <w:name w:val="AAF Title"/>
    <w:basedOn w:val="Title"/>
    <w:next w:val="AAFHeading1"/>
    <w:link w:val="AAFTitleChar"/>
    <w:autoRedefine/>
    <w:uiPriority w:val="1"/>
    <w:qFormat/>
    <w:rsid w:val="00152C59"/>
    <w:pPr>
      <w:spacing w:before="120" w:after="120"/>
      <w:ind w:left="-142"/>
    </w:pPr>
    <w:rPr>
      <w:rFonts w:ascii="Century Gothic" w:hAnsi="Century Gothic"/>
      <w:color w:val="376BB0" w:themeColor="accent1"/>
      <w:sz w:val="40"/>
    </w:rPr>
  </w:style>
  <w:style w:type="paragraph" w:customStyle="1" w:styleId="AAFHeading1">
    <w:name w:val="AAF Heading 1"/>
    <w:basedOn w:val="Heading1"/>
    <w:next w:val="Normal"/>
    <w:link w:val="AAFHeading1Char"/>
    <w:autoRedefine/>
    <w:uiPriority w:val="2"/>
    <w:qFormat/>
    <w:rsid w:val="00926287"/>
    <w:pPr>
      <w:spacing w:before="0" w:after="120"/>
    </w:pPr>
    <w:rPr>
      <w:iCs/>
      <w:color w:val="F08528" w:themeColor="accent2"/>
      <w:sz w:val="32"/>
    </w:rPr>
  </w:style>
  <w:style w:type="character" w:customStyle="1" w:styleId="AAFTitleChar">
    <w:name w:val="AAF Title Char"/>
    <w:basedOn w:val="Heading1Char"/>
    <w:link w:val="AAFTitle"/>
    <w:uiPriority w:val="1"/>
    <w:rsid w:val="00152C59"/>
    <w:rPr>
      <w:rFonts w:ascii="Century Gothic" w:eastAsiaTheme="majorEastAsia" w:hAnsi="Century Gothic" w:cstheme="majorBidi"/>
      <w:color w:val="376BB0" w:themeColor="accent1"/>
      <w:spacing w:val="-10"/>
      <w:kern w:val="28"/>
      <w:sz w:val="40"/>
      <w:szCs w:val="56"/>
    </w:rPr>
  </w:style>
  <w:style w:type="table" w:styleId="TableGrid">
    <w:name w:val="Table Grid"/>
    <w:basedOn w:val="TableNormal"/>
    <w:uiPriority w:val="59"/>
    <w:rsid w:val="0046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FHeading1Char">
    <w:name w:val="AAF Heading 1 Char"/>
    <w:basedOn w:val="AAFTitleChar"/>
    <w:link w:val="AAFHeading1"/>
    <w:uiPriority w:val="2"/>
    <w:rsid w:val="00926287"/>
    <w:rPr>
      <w:rFonts w:ascii="Century Gothic" w:eastAsiaTheme="majorEastAsia" w:hAnsi="Century Gothic" w:cstheme="majorBidi"/>
      <w:iCs/>
      <w:color w:val="F08528" w:themeColor="accent2"/>
      <w:spacing w:val="-10"/>
      <w:kern w:val="28"/>
      <w:sz w:val="32"/>
      <w:szCs w:val="32"/>
    </w:rPr>
  </w:style>
  <w:style w:type="table" w:customStyle="1" w:styleId="GridTable1Light-Accent21">
    <w:name w:val="Grid Table 1 Light - Accent 21"/>
    <w:basedOn w:val="TableNormal"/>
    <w:uiPriority w:val="46"/>
    <w:rsid w:val="00666A89"/>
    <w:pPr>
      <w:spacing w:after="0" w:line="240" w:lineRule="auto"/>
    </w:pPr>
    <w:tblPr>
      <w:tblStyleRowBandSize w:val="1"/>
      <w:tblStyleColBandSize w:val="1"/>
      <w:tblBorders>
        <w:top w:val="single" w:sz="4" w:space="0" w:color="F9CEA9" w:themeColor="accent2" w:themeTint="66"/>
        <w:left w:val="single" w:sz="4" w:space="0" w:color="F9CEA9" w:themeColor="accent2" w:themeTint="66"/>
        <w:bottom w:val="single" w:sz="4" w:space="0" w:color="F9CEA9" w:themeColor="accent2" w:themeTint="66"/>
        <w:right w:val="single" w:sz="4" w:space="0" w:color="F9CEA9" w:themeColor="accent2" w:themeTint="66"/>
        <w:insideH w:val="single" w:sz="4" w:space="0" w:color="F9CEA9" w:themeColor="accent2" w:themeTint="66"/>
        <w:insideV w:val="single" w:sz="4" w:space="0" w:color="F9CEA9" w:themeColor="accent2" w:themeTint="66"/>
      </w:tblBorders>
    </w:tblPr>
    <w:tblStylePr w:type="firstRow">
      <w:rPr>
        <w:b/>
        <w:bCs/>
      </w:rPr>
      <w:tblPr/>
      <w:tcPr>
        <w:tcBorders>
          <w:bottom w:val="single" w:sz="12" w:space="0" w:color="F6B57E" w:themeColor="accent2" w:themeTint="99"/>
        </w:tcBorders>
      </w:tcPr>
    </w:tblStylePr>
    <w:tblStylePr w:type="lastRow">
      <w:rPr>
        <w:b/>
        <w:bCs/>
      </w:rPr>
      <w:tblPr/>
      <w:tcPr>
        <w:tcBorders>
          <w:top w:val="double" w:sz="2" w:space="0" w:color="F6B57E" w:themeColor="accent2"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rsid w:val="0048671F"/>
    <w:pPr>
      <w:numPr>
        <w:ilvl w:val="1"/>
      </w:numPr>
      <w:ind w:left="425"/>
    </w:pPr>
    <w:rPr>
      <w:rFonts w:eastAsiaTheme="minorEastAsia"/>
      <w:color w:val="7C7C7C" w:themeColor="text1" w:themeTint="A5"/>
      <w:spacing w:val="15"/>
    </w:rPr>
  </w:style>
  <w:style w:type="character" w:customStyle="1" w:styleId="SubtitleChar">
    <w:name w:val="Subtitle Char"/>
    <w:basedOn w:val="DefaultParagraphFont"/>
    <w:link w:val="Subtitle"/>
    <w:uiPriority w:val="11"/>
    <w:rsid w:val="0048671F"/>
    <w:rPr>
      <w:rFonts w:eastAsiaTheme="minorEastAsia"/>
      <w:color w:val="7C7C7C" w:themeColor="text1" w:themeTint="A5"/>
      <w:spacing w:val="15"/>
    </w:rPr>
  </w:style>
  <w:style w:type="paragraph" w:styleId="BalloonText">
    <w:name w:val="Balloon Text"/>
    <w:basedOn w:val="Normal"/>
    <w:link w:val="BalloonTextChar"/>
    <w:uiPriority w:val="99"/>
    <w:semiHidden/>
    <w:unhideWhenUsed/>
    <w:rsid w:val="00270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ADF"/>
    <w:rPr>
      <w:rFonts w:ascii="Segoe UI" w:hAnsi="Segoe UI" w:cs="Segoe UI"/>
      <w:sz w:val="18"/>
      <w:szCs w:val="18"/>
    </w:rPr>
  </w:style>
  <w:style w:type="character" w:styleId="SubtleEmphasis">
    <w:name w:val="Subtle Emphasis"/>
    <w:basedOn w:val="DefaultParagraphFont"/>
    <w:uiPriority w:val="19"/>
    <w:rsid w:val="0048671F"/>
    <w:rPr>
      <w:i/>
      <w:iCs/>
      <w:color w:val="676767" w:themeColor="text1" w:themeTint="BF"/>
    </w:rPr>
  </w:style>
  <w:style w:type="character" w:customStyle="1" w:styleId="Heading2Char">
    <w:name w:val="Heading 2 Char"/>
    <w:aliases w:val="AAF Heading 3 Char"/>
    <w:basedOn w:val="DefaultParagraphFont"/>
    <w:link w:val="Heading2"/>
    <w:uiPriority w:val="9"/>
    <w:rsid w:val="00F47B27"/>
    <w:rPr>
      <w:rFonts w:ascii="Century Gothic" w:eastAsiaTheme="majorEastAsia" w:hAnsi="Century Gothic" w:cstheme="majorBidi"/>
      <w:i/>
      <w:color w:val="606161" w:themeColor="text2"/>
      <w:sz w:val="24"/>
      <w:szCs w:val="26"/>
    </w:rPr>
  </w:style>
  <w:style w:type="paragraph" w:styleId="Title">
    <w:name w:val="Title"/>
    <w:basedOn w:val="Normal"/>
    <w:next w:val="Normal"/>
    <w:link w:val="TitleChar"/>
    <w:uiPriority w:val="10"/>
    <w:rsid w:val="00C232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23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23236"/>
    <w:rPr>
      <w:rFonts w:asciiTheme="majorHAnsi" w:eastAsiaTheme="majorEastAsia" w:hAnsiTheme="majorHAnsi" w:cstheme="majorBidi"/>
      <w:color w:val="1B3557" w:themeColor="accent1" w:themeShade="7F"/>
      <w:sz w:val="24"/>
      <w:szCs w:val="24"/>
    </w:rPr>
  </w:style>
  <w:style w:type="table" w:customStyle="1" w:styleId="AAFTable1">
    <w:name w:val="AAF Table 1"/>
    <w:basedOn w:val="TableNormal"/>
    <w:uiPriority w:val="99"/>
    <w:rsid w:val="00AF27F5"/>
    <w:pPr>
      <w:spacing w:after="0" w:line="240" w:lineRule="auto"/>
    </w:pPr>
    <w:tblPr>
      <w:tblBorders>
        <w:insideH w:val="single" w:sz="4" w:space="0" w:color="3FA8DC" w:themeColor="accent5"/>
        <w:insideV w:val="single" w:sz="4" w:space="0" w:color="3FA8DC" w:themeColor="accent5"/>
      </w:tblBorders>
    </w:tblPr>
  </w:style>
  <w:style w:type="paragraph" w:styleId="NoSpacing">
    <w:name w:val="No Spacing"/>
    <w:uiPriority w:val="11"/>
    <w:rsid w:val="000B6350"/>
    <w:pPr>
      <w:spacing w:after="0" w:line="240" w:lineRule="auto"/>
    </w:pPr>
  </w:style>
  <w:style w:type="table" w:customStyle="1" w:styleId="AAFTable2">
    <w:name w:val="AAF Table 2"/>
    <w:basedOn w:val="TableNormal"/>
    <w:uiPriority w:val="99"/>
    <w:rsid w:val="004F6859"/>
    <w:pPr>
      <w:spacing w:after="0" w:line="240" w:lineRule="auto"/>
    </w:pPr>
    <w:tblPr>
      <w:tblBorders>
        <w:insideH w:val="single" w:sz="4" w:space="0" w:color="3FA8DC" w:themeColor="accent5"/>
        <w:insideV w:val="single" w:sz="4" w:space="0" w:color="3FA8DC" w:themeColor="accent5"/>
      </w:tblBorders>
    </w:tblPr>
    <w:tcPr>
      <w:shd w:val="clear" w:color="auto" w:fill="DCE0E3" w:themeFill="background1"/>
    </w:tcPr>
  </w:style>
  <w:style w:type="character" w:customStyle="1" w:styleId="Heading4Char">
    <w:name w:val="Heading 4 Char"/>
    <w:aliases w:val="AAF Heading 4 Char"/>
    <w:basedOn w:val="DefaultParagraphFont"/>
    <w:link w:val="Heading4"/>
    <w:uiPriority w:val="5"/>
    <w:rsid w:val="00F47B27"/>
    <w:rPr>
      <w:rFonts w:asciiTheme="majorHAnsi" w:eastAsiaTheme="majorEastAsia" w:hAnsiTheme="majorHAnsi" w:cstheme="majorBidi"/>
      <w:b/>
      <w:iCs/>
      <w:color w:val="376BB0" w:themeColor="accent1"/>
    </w:rPr>
  </w:style>
  <w:style w:type="character" w:customStyle="1" w:styleId="Heading5Char">
    <w:name w:val="Heading 5 Char"/>
    <w:aliases w:val="AAF Heading 5 Char"/>
    <w:basedOn w:val="DefaultParagraphFont"/>
    <w:link w:val="Heading5"/>
    <w:uiPriority w:val="6"/>
    <w:rsid w:val="00A51E31"/>
    <w:rPr>
      <w:rFonts w:asciiTheme="majorHAnsi" w:eastAsiaTheme="majorEastAsia" w:hAnsiTheme="majorHAnsi" w:cstheme="majorBidi"/>
      <w:b/>
      <w:i/>
      <w:iCs/>
      <w:color w:val="606161" w:themeColor="text2"/>
    </w:rPr>
  </w:style>
  <w:style w:type="character" w:styleId="Emphasis">
    <w:name w:val="Emphasis"/>
    <w:basedOn w:val="DefaultParagraphFont"/>
    <w:uiPriority w:val="20"/>
    <w:qFormat/>
    <w:rsid w:val="000A55F6"/>
    <w:rPr>
      <w:rFonts w:asciiTheme="minorHAnsi" w:hAnsiTheme="minorHAnsi"/>
      <w:i/>
      <w:iCs/>
      <w:sz w:val="22"/>
    </w:rPr>
  </w:style>
  <w:style w:type="character" w:customStyle="1" w:styleId="Heading6Char">
    <w:name w:val="Heading 6 Char"/>
    <w:aliases w:val="AAF Heading 6 Char"/>
    <w:basedOn w:val="DefaultParagraphFont"/>
    <w:link w:val="Heading6"/>
    <w:uiPriority w:val="7"/>
    <w:rsid w:val="005949DB"/>
    <w:rPr>
      <w:rFonts w:asciiTheme="majorHAnsi" w:eastAsiaTheme="majorEastAsia" w:hAnsiTheme="majorHAnsi" w:cstheme="majorBidi"/>
      <w:iCs/>
      <w:color w:val="3FA8DC" w:themeColor="accent5"/>
      <w:szCs w:val="24"/>
    </w:rPr>
  </w:style>
  <w:style w:type="character" w:customStyle="1" w:styleId="Heading7Char">
    <w:name w:val="Heading 7 Char"/>
    <w:basedOn w:val="DefaultParagraphFont"/>
    <w:link w:val="Heading7"/>
    <w:uiPriority w:val="9"/>
    <w:semiHidden/>
    <w:rsid w:val="004F6859"/>
    <w:rPr>
      <w:rFonts w:asciiTheme="majorHAnsi" w:eastAsiaTheme="majorEastAsia" w:hAnsiTheme="majorHAnsi" w:cstheme="majorBidi"/>
      <w:i/>
      <w:iCs/>
      <w:color w:val="1B3557" w:themeColor="accent1" w:themeShade="7F"/>
    </w:rPr>
  </w:style>
  <w:style w:type="character" w:styleId="IntenseEmphasis">
    <w:name w:val="Intense Emphasis"/>
    <w:basedOn w:val="DefaultParagraphFont"/>
    <w:uiPriority w:val="21"/>
    <w:qFormat/>
    <w:rsid w:val="000A55F6"/>
    <w:rPr>
      <w:rFonts w:asciiTheme="minorHAnsi" w:hAnsiTheme="minorHAnsi"/>
      <w:i/>
      <w:iCs/>
      <w:color w:val="376BB0" w:themeColor="accent1"/>
    </w:rPr>
  </w:style>
  <w:style w:type="paragraph" w:styleId="Quote">
    <w:name w:val="Quote"/>
    <w:basedOn w:val="Normal"/>
    <w:next w:val="Normal"/>
    <w:link w:val="QuoteChar"/>
    <w:autoRedefine/>
    <w:uiPriority w:val="29"/>
    <w:qFormat/>
    <w:rsid w:val="000A55F6"/>
    <w:pPr>
      <w:spacing w:before="200"/>
      <w:ind w:left="864" w:right="864"/>
      <w:jc w:val="center"/>
    </w:pPr>
    <w:rPr>
      <w:i/>
      <w:iCs/>
    </w:rPr>
  </w:style>
  <w:style w:type="character" w:customStyle="1" w:styleId="QuoteChar">
    <w:name w:val="Quote Char"/>
    <w:basedOn w:val="DefaultParagraphFont"/>
    <w:link w:val="Quote"/>
    <w:uiPriority w:val="29"/>
    <w:rsid w:val="000A55F6"/>
    <w:rPr>
      <w:i/>
      <w:iCs/>
      <w:color w:val="676767" w:themeColor="text1" w:themeTint="BF"/>
    </w:rPr>
  </w:style>
  <w:style w:type="paragraph" w:styleId="IntenseQuote">
    <w:name w:val="Intense Quote"/>
    <w:basedOn w:val="Normal"/>
    <w:next w:val="Normal"/>
    <w:link w:val="IntenseQuoteChar"/>
    <w:autoRedefine/>
    <w:uiPriority w:val="30"/>
    <w:rsid w:val="000A55F6"/>
    <w:pPr>
      <w:pBdr>
        <w:top w:val="single" w:sz="4" w:space="10" w:color="376BB0" w:themeColor="accent1"/>
        <w:bottom w:val="single" w:sz="4" w:space="10" w:color="376BB0" w:themeColor="accent1"/>
      </w:pBdr>
      <w:spacing w:before="360" w:after="360"/>
      <w:ind w:left="864" w:right="864"/>
      <w:jc w:val="center"/>
    </w:pPr>
    <w:rPr>
      <w:i/>
      <w:iCs/>
      <w:color w:val="376BB0" w:themeColor="accent1"/>
    </w:rPr>
  </w:style>
  <w:style w:type="character" w:customStyle="1" w:styleId="IntenseQuoteChar">
    <w:name w:val="Intense Quote Char"/>
    <w:basedOn w:val="DefaultParagraphFont"/>
    <w:link w:val="IntenseQuote"/>
    <w:uiPriority w:val="30"/>
    <w:rsid w:val="000A55F6"/>
    <w:rPr>
      <w:i/>
      <w:iCs/>
      <w:color w:val="376BB0" w:themeColor="accent1"/>
    </w:rPr>
  </w:style>
  <w:style w:type="character" w:styleId="Hyperlink">
    <w:name w:val="Hyperlink"/>
    <w:basedOn w:val="DefaultParagraphFont"/>
    <w:unhideWhenUsed/>
    <w:rsid w:val="00B7407D"/>
    <w:rPr>
      <w:color w:val="376BB0" w:themeColor="hyperlink"/>
      <w:u w:val="single"/>
    </w:rPr>
  </w:style>
  <w:style w:type="character" w:customStyle="1" w:styleId="UnresolvedMention1">
    <w:name w:val="Unresolved Mention1"/>
    <w:basedOn w:val="DefaultParagraphFont"/>
    <w:uiPriority w:val="99"/>
    <w:semiHidden/>
    <w:unhideWhenUsed/>
    <w:rsid w:val="00B7407D"/>
    <w:rPr>
      <w:color w:val="605E5C"/>
      <w:shd w:val="clear" w:color="auto" w:fill="E1DFDD"/>
    </w:rPr>
  </w:style>
  <w:style w:type="paragraph" w:customStyle="1" w:styleId="AAFStyles">
    <w:name w:val="AAF Styles"/>
    <w:basedOn w:val="AAFTitle"/>
    <w:link w:val="AAFStylesChar"/>
    <w:autoRedefine/>
    <w:uiPriority w:val="8"/>
    <w:rsid w:val="004624FE"/>
  </w:style>
  <w:style w:type="paragraph" w:customStyle="1" w:styleId="Style2">
    <w:name w:val="Style2"/>
    <w:basedOn w:val="Heading6"/>
    <w:link w:val="Style2Char"/>
    <w:autoRedefine/>
    <w:uiPriority w:val="1"/>
    <w:semiHidden/>
    <w:rsid w:val="004624FE"/>
  </w:style>
  <w:style w:type="character" w:customStyle="1" w:styleId="AAFStylesChar">
    <w:name w:val="AAF Styles Char"/>
    <w:basedOn w:val="AAFTitleChar"/>
    <w:link w:val="AAFStyles"/>
    <w:uiPriority w:val="8"/>
    <w:rsid w:val="00584C37"/>
    <w:rPr>
      <w:rFonts w:ascii="Century Gothic" w:eastAsiaTheme="majorEastAsia" w:hAnsi="Century Gothic" w:cstheme="majorBidi"/>
      <w:color w:val="376BB0" w:themeColor="accent1"/>
      <w:spacing w:val="-10"/>
      <w:kern w:val="28"/>
      <w:sz w:val="40"/>
      <w:szCs w:val="56"/>
    </w:rPr>
  </w:style>
  <w:style w:type="character" w:customStyle="1" w:styleId="Style2Char">
    <w:name w:val="Style2 Char"/>
    <w:basedOn w:val="Heading6Char"/>
    <w:link w:val="Style2"/>
    <w:uiPriority w:val="1"/>
    <w:semiHidden/>
    <w:rsid w:val="00584C37"/>
    <w:rPr>
      <w:rFonts w:asciiTheme="majorHAnsi" w:eastAsiaTheme="majorEastAsia" w:hAnsiTheme="majorHAnsi" w:cstheme="majorBidi"/>
      <w:iCs/>
      <w:color w:val="3FA8DC" w:themeColor="accent5"/>
      <w:szCs w:val="24"/>
    </w:rPr>
  </w:style>
  <w:style w:type="paragraph" w:customStyle="1" w:styleId="AAFlink">
    <w:name w:val="AAF link"/>
    <w:basedOn w:val="AAFNormal"/>
    <w:next w:val="AAFNormal"/>
    <w:link w:val="AAFlinkChar"/>
    <w:autoRedefine/>
    <w:uiPriority w:val="12"/>
    <w:rsid w:val="00B47DA9"/>
    <w:rPr>
      <w:color w:val="3FA8DC" w:themeColor="accent5"/>
    </w:rPr>
  </w:style>
  <w:style w:type="paragraph" w:customStyle="1" w:styleId="AAFLink0">
    <w:name w:val="AAF Link"/>
    <w:basedOn w:val="AAFNormal"/>
    <w:link w:val="AAFLinkChar0"/>
    <w:autoRedefine/>
    <w:uiPriority w:val="12"/>
    <w:rsid w:val="00651361"/>
    <w:rPr>
      <w:rFonts w:eastAsiaTheme="minorHAnsi" w:cs="Gill Sans MT"/>
      <w:color w:val="3FA8DC" w:themeColor="accent5"/>
      <w:szCs w:val="20"/>
    </w:rPr>
  </w:style>
  <w:style w:type="character" w:customStyle="1" w:styleId="AAFlinkChar">
    <w:name w:val="AAF link Char"/>
    <w:basedOn w:val="AAFNormalChar"/>
    <w:link w:val="AAFlink"/>
    <w:uiPriority w:val="12"/>
    <w:rsid w:val="00B47DA9"/>
    <w:rPr>
      <w:rFonts w:ascii="Calibri" w:eastAsia="Times New Roman" w:hAnsi="Calibri" w:cs="Times New Roman"/>
      <w:bCs/>
      <w:iCs/>
      <w:color w:val="3FA8DC" w:themeColor="accent5"/>
      <w:szCs w:val="24"/>
    </w:rPr>
  </w:style>
  <w:style w:type="character" w:customStyle="1" w:styleId="AAFLinkChar0">
    <w:name w:val="AAF Link Char"/>
    <w:basedOn w:val="AAFNormalChar"/>
    <w:link w:val="AAFLink0"/>
    <w:uiPriority w:val="12"/>
    <w:rsid w:val="00651361"/>
    <w:rPr>
      <w:rFonts w:eastAsia="Times New Roman" w:cs="Gill Sans MT"/>
      <w:bCs/>
      <w:iCs/>
      <w:color w:val="3FA8DC" w:themeColor="accent5"/>
      <w:szCs w:val="20"/>
    </w:rPr>
  </w:style>
  <w:style w:type="paragraph" w:styleId="BodyText">
    <w:name w:val="Body Text"/>
    <w:basedOn w:val="Normal"/>
    <w:link w:val="BodyTextChar"/>
    <w:rsid w:val="001D6339"/>
    <w:pPr>
      <w:widowControl w:val="0"/>
      <w:spacing w:before="120" w:after="120" w:line="288" w:lineRule="auto"/>
    </w:pPr>
    <w:rPr>
      <w:rFonts w:ascii="Arial" w:hAnsi="Arial"/>
      <w:sz w:val="21"/>
    </w:rPr>
  </w:style>
  <w:style w:type="character" w:customStyle="1" w:styleId="BodyTextChar">
    <w:name w:val="Body Text Char"/>
    <w:basedOn w:val="DefaultParagraphFont"/>
    <w:link w:val="BodyText"/>
    <w:rsid w:val="001D6339"/>
    <w:rPr>
      <w:rFonts w:ascii="Arial" w:eastAsia="Times New Roman" w:hAnsi="Arial" w:cs="Times New Roman"/>
      <w:sz w:val="21"/>
      <w:szCs w:val="24"/>
      <w:lang w:eastAsia="en-AU"/>
    </w:rPr>
  </w:style>
  <w:style w:type="paragraph" w:styleId="ListParagraph">
    <w:name w:val="List Paragraph"/>
    <w:basedOn w:val="Normal"/>
    <w:uiPriority w:val="34"/>
    <w:qFormat/>
    <w:rsid w:val="002C223C"/>
    <w:pPr>
      <w:ind w:left="720"/>
      <w:contextualSpacing/>
    </w:pPr>
  </w:style>
  <w:style w:type="paragraph" w:customStyle="1" w:styleId="iNormal">
    <w:name w:val="iNormal"/>
    <w:qFormat/>
    <w:rsid w:val="002C223C"/>
    <w:pPr>
      <w:numPr>
        <w:numId w:val="3"/>
      </w:numPr>
      <w:spacing w:before="120" w:after="0" w:line="360" w:lineRule="auto"/>
    </w:pPr>
    <w:rPr>
      <w:rFonts w:eastAsia="Calibri" w:cs="Times New Roman"/>
      <w:color w:val="676767" w:themeColor="text1" w:themeTint="BF"/>
      <w:szCs w:val="24"/>
      <w:lang w:eastAsia="en-AU"/>
    </w:rPr>
  </w:style>
  <w:style w:type="character" w:styleId="CommentReference">
    <w:name w:val="annotation reference"/>
    <w:basedOn w:val="DefaultParagraphFont"/>
    <w:uiPriority w:val="99"/>
    <w:semiHidden/>
    <w:unhideWhenUsed/>
    <w:rsid w:val="00736ECA"/>
    <w:rPr>
      <w:sz w:val="16"/>
      <w:szCs w:val="16"/>
    </w:rPr>
  </w:style>
  <w:style w:type="paragraph" w:styleId="CommentText">
    <w:name w:val="annotation text"/>
    <w:basedOn w:val="Normal"/>
    <w:link w:val="CommentTextChar"/>
    <w:uiPriority w:val="99"/>
    <w:semiHidden/>
    <w:unhideWhenUsed/>
    <w:rsid w:val="00736ECA"/>
    <w:rPr>
      <w:sz w:val="20"/>
      <w:szCs w:val="20"/>
    </w:rPr>
  </w:style>
  <w:style w:type="character" w:customStyle="1" w:styleId="CommentTextChar">
    <w:name w:val="Comment Text Char"/>
    <w:basedOn w:val="DefaultParagraphFont"/>
    <w:link w:val="CommentText"/>
    <w:uiPriority w:val="99"/>
    <w:semiHidden/>
    <w:rsid w:val="00736ECA"/>
    <w:rPr>
      <w:rFonts w:eastAsia="Times New Roman" w:cs="Times New Roman"/>
      <w:color w:val="676767" w:themeColor="text1" w:themeTint="BF"/>
      <w:sz w:val="20"/>
      <w:szCs w:val="20"/>
    </w:rPr>
  </w:style>
  <w:style w:type="paragraph" w:styleId="CommentSubject">
    <w:name w:val="annotation subject"/>
    <w:basedOn w:val="CommentText"/>
    <w:next w:val="CommentText"/>
    <w:link w:val="CommentSubjectChar"/>
    <w:uiPriority w:val="99"/>
    <w:semiHidden/>
    <w:unhideWhenUsed/>
    <w:rsid w:val="00736ECA"/>
    <w:rPr>
      <w:b/>
      <w:bCs/>
    </w:rPr>
  </w:style>
  <w:style w:type="character" w:customStyle="1" w:styleId="CommentSubjectChar">
    <w:name w:val="Comment Subject Char"/>
    <w:basedOn w:val="CommentTextChar"/>
    <w:link w:val="CommentSubject"/>
    <w:uiPriority w:val="99"/>
    <w:semiHidden/>
    <w:rsid w:val="00736ECA"/>
    <w:rPr>
      <w:rFonts w:eastAsia="Times New Roman" w:cs="Times New Roman"/>
      <w:b/>
      <w:bCs/>
      <w:color w:val="676767" w:themeColor="text1" w:themeTint="BF"/>
      <w:sz w:val="20"/>
      <w:szCs w:val="20"/>
    </w:rPr>
  </w:style>
  <w:style w:type="paragraph" w:styleId="NormalWeb">
    <w:name w:val="Normal (Web)"/>
    <w:basedOn w:val="Normal"/>
    <w:uiPriority w:val="99"/>
    <w:semiHidden/>
    <w:unhideWhenUsed/>
    <w:rsid w:val="00A50EEB"/>
    <w:rPr>
      <w:rFonts w:ascii="Times New Roman" w:hAnsi="Times New Roman"/>
      <w:sz w:val="24"/>
    </w:rPr>
  </w:style>
  <w:style w:type="character" w:styleId="UnresolvedMention">
    <w:name w:val="Unresolved Mention"/>
    <w:basedOn w:val="DefaultParagraphFont"/>
    <w:uiPriority w:val="99"/>
    <w:semiHidden/>
    <w:unhideWhenUsed/>
    <w:rsid w:val="00651361"/>
    <w:rPr>
      <w:color w:val="605E5C"/>
      <w:shd w:val="clear" w:color="auto" w:fill="E1DFDD"/>
    </w:rPr>
  </w:style>
  <w:style w:type="character" w:styleId="IntenseReference">
    <w:name w:val="Intense Reference"/>
    <w:basedOn w:val="DefaultParagraphFont"/>
    <w:uiPriority w:val="32"/>
    <w:qFormat/>
    <w:rsid w:val="00947235"/>
    <w:rPr>
      <w:rFonts w:ascii="Gill Sans MT" w:hAnsi="Gill Sans MT" w:cs="Times New Roman"/>
      <w:b/>
      <w:caps/>
      <w:color w:val="415968"/>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09458">
      <w:bodyDiv w:val="1"/>
      <w:marLeft w:val="0"/>
      <w:marRight w:val="0"/>
      <w:marTop w:val="0"/>
      <w:marBottom w:val="0"/>
      <w:divBdr>
        <w:top w:val="none" w:sz="0" w:space="0" w:color="auto"/>
        <w:left w:val="none" w:sz="0" w:space="0" w:color="auto"/>
        <w:bottom w:val="none" w:sz="0" w:space="0" w:color="auto"/>
        <w:right w:val="none" w:sz="0" w:space="0" w:color="auto"/>
      </w:divBdr>
    </w:div>
    <w:div w:id="766389398">
      <w:bodyDiv w:val="1"/>
      <w:marLeft w:val="0"/>
      <w:marRight w:val="0"/>
      <w:marTop w:val="0"/>
      <w:marBottom w:val="0"/>
      <w:divBdr>
        <w:top w:val="none" w:sz="0" w:space="0" w:color="auto"/>
        <w:left w:val="none" w:sz="0" w:space="0" w:color="auto"/>
        <w:bottom w:val="none" w:sz="0" w:space="0" w:color="auto"/>
        <w:right w:val="none" w:sz="0" w:space="0" w:color="auto"/>
      </w:divBdr>
      <w:divsChild>
        <w:div w:id="915475778">
          <w:marLeft w:val="0"/>
          <w:marRight w:val="0"/>
          <w:marTop w:val="0"/>
          <w:marBottom w:val="0"/>
          <w:divBdr>
            <w:top w:val="none" w:sz="0" w:space="0" w:color="auto"/>
            <w:left w:val="none" w:sz="0" w:space="0" w:color="auto"/>
            <w:bottom w:val="none" w:sz="0" w:space="0" w:color="auto"/>
            <w:right w:val="none" w:sz="0" w:space="0" w:color="auto"/>
          </w:divBdr>
          <w:divsChild>
            <w:div w:id="877624907">
              <w:marLeft w:val="0"/>
              <w:marRight w:val="0"/>
              <w:marTop w:val="0"/>
              <w:marBottom w:val="0"/>
              <w:divBdr>
                <w:top w:val="none" w:sz="0" w:space="0" w:color="auto"/>
                <w:left w:val="none" w:sz="0" w:space="0" w:color="auto"/>
                <w:bottom w:val="none" w:sz="0" w:space="0" w:color="auto"/>
                <w:right w:val="none" w:sz="0" w:space="0" w:color="auto"/>
              </w:divBdr>
              <w:divsChild>
                <w:div w:id="786048895">
                  <w:marLeft w:val="0"/>
                  <w:marRight w:val="0"/>
                  <w:marTop w:val="0"/>
                  <w:marBottom w:val="0"/>
                  <w:divBdr>
                    <w:top w:val="none" w:sz="0" w:space="0" w:color="auto"/>
                    <w:left w:val="none" w:sz="0" w:space="0" w:color="auto"/>
                    <w:bottom w:val="none" w:sz="0" w:space="0" w:color="auto"/>
                    <w:right w:val="none" w:sz="0" w:space="0" w:color="auto"/>
                  </w:divBdr>
                  <w:divsChild>
                    <w:div w:id="8075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5812">
      <w:bodyDiv w:val="1"/>
      <w:marLeft w:val="0"/>
      <w:marRight w:val="0"/>
      <w:marTop w:val="0"/>
      <w:marBottom w:val="0"/>
      <w:divBdr>
        <w:top w:val="none" w:sz="0" w:space="0" w:color="auto"/>
        <w:left w:val="none" w:sz="0" w:space="0" w:color="auto"/>
        <w:bottom w:val="none" w:sz="0" w:space="0" w:color="auto"/>
        <w:right w:val="none" w:sz="0" w:space="0" w:color="auto"/>
      </w:divBdr>
      <w:divsChild>
        <w:div w:id="675619541">
          <w:marLeft w:val="0"/>
          <w:marRight w:val="0"/>
          <w:marTop w:val="0"/>
          <w:marBottom w:val="0"/>
          <w:divBdr>
            <w:top w:val="none" w:sz="0" w:space="0" w:color="auto"/>
            <w:left w:val="none" w:sz="0" w:space="0" w:color="auto"/>
            <w:bottom w:val="none" w:sz="0" w:space="0" w:color="auto"/>
            <w:right w:val="none" w:sz="0" w:space="0" w:color="auto"/>
          </w:divBdr>
          <w:divsChild>
            <w:div w:id="956447032">
              <w:marLeft w:val="0"/>
              <w:marRight w:val="0"/>
              <w:marTop w:val="0"/>
              <w:marBottom w:val="0"/>
              <w:divBdr>
                <w:top w:val="none" w:sz="0" w:space="0" w:color="auto"/>
                <w:left w:val="none" w:sz="0" w:space="0" w:color="auto"/>
                <w:bottom w:val="none" w:sz="0" w:space="0" w:color="auto"/>
                <w:right w:val="none" w:sz="0" w:space="0" w:color="auto"/>
              </w:divBdr>
              <w:divsChild>
                <w:div w:id="766576809">
                  <w:marLeft w:val="0"/>
                  <w:marRight w:val="0"/>
                  <w:marTop w:val="0"/>
                  <w:marBottom w:val="0"/>
                  <w:divBdr>
                    <w:top w:val="none" w:sz="0" w:space="0" w:color="auto"/>
                    <w:left w:val="none" w:sz="0" w:space="0" w:color="auto"/>
                    <w:bottom w:val="none" w:sz="0" w:space="0" w:color="auto"/>
                    <w:right w:val="none" w:sz="0" w:space="0" w:color="auto"/>
                  </w:divBdr>
                  <w:divsChild>
                    <w:div w:id="19658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ulu\Dropbox%20(AAF%20Inc)\AAF%20Inc%20All%20Staff\12%20Doc%20templates\AAF_TMP_1pger_v1_2020.dotx" TargetMode="External"/></Relationships>
</file>

<file path=word/theme/theme1.xml><?xml version="1.0" encoding="utf-8"?>
<a:theme xmlns:a="http://schemas.openxmlformats.org/drawingml/2006/main" name="Office Theme">
  <a:themeElements>
    <a:clrScheme name="AAF Colours">
      <a:dk1>
        <a:srgbClr val="353535"/>
      </a:dk1>
      <a:lt1>
        <a:srgbClr val="DCE0E3"/>
      </a:lt1>
      <a:dk2>
        <a:srgbClr val="606161"/>
      </a:dk2>
      <a:lt2>
        <a:srgbClr val="FFFFFF"/>
      </a:lt2>
      <a:accent1>
        <a:srgbClr val="376BB0"/>
      </a:accent1>
      <a:accent2>
        <a:srgbClr val="F08528"/>
      </a:accent2>
      <a:accent3>
        <a:srgbClr val="FAAE1D"/>
      </a:accent3>
      <a:accent4>
        <a:srgbClr val="00B050"/>
      </a:accent4>
      <a:accent5>
        <a:srgbClr val="3FA8DC"/>
      </a:accent5>
      <a:accent6>
        <a:srgbClr val="A158A1"/>
      </a:accent6>
      <a:hlink>
        <a:srgbClr val="376BB0"/>
      </a:hlink>
      <a:folHlink>
        <a:srgbClr val="3FA8DC"/>
      </a:folHlink>
    </a:clrScheme>
    <a:fontScheme name="AAF 2020 Branding">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2E5A-9001-FE4A-97CE-15080BD2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AAF_TMP_1pger_v1_2020</Template>
  <TotalTime>0</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Elleina Andrews-Filippi</dc:creator>
  <cp:keywords/>
  <dc:description/>
  <cp:lastModifiedBy>Richard Northam</cp:lastModifiedBy>
  <cp:revision>3</cp:revision>
  <dcterms:created xsi:type="dcterms:W3CDTF">2021-08-08T23:03:00Z</dcterms:created>
  <dcterms:modified xsi:type="dcterms:W3CDTF">2021-08-09T00:27:00Z</dcterms:modified>
</cp:coreProperties>
</file>